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реализации Программы профилактики нарушений обязательных требований в области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 людей на водных </w:t>
      </w:r>
      <w:r>
        <w:rPr>
          <w:rFonts w:ascii="Times New Roman" w:hAnsi="Times New Roman"/>
          <w:b w:val="1"/>
          <w:sz w:val="24"/>
        </w:rPr>
        <w:t>объектах на территории Республики Тыва на 2021 год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1 квартал 2021 года</w:t>
      </w:r>
    </w:p>
    <w:p w14:paraId="0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Федеральный государственный пожарный надзор</w:t>
      </w:r>
    </w:p>
    <w:p w14:paraId="06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</w:p>
    <w:p w14:paraId="07000000">
      <w:pPr>
        <w:pStyle w:val="Style_1"/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0" w:left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Государственный статистический учет пожаров.</w:t>
      </w:r>
    </w:p>
    <w:p w14:paraId="08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Обстановка с пожарами в Республике Тыва за 1 квартал 2021 года характеризовалась следующими</w:t>
      </w:r>
      <w:r>
        <w:rPr>
          <w:rStyle w:val="Style_2_ch"/>
          <w:rFonts w:ascii="Times New Roman" w:hAnsi="Times New Roman"/>
          <w:sz w:val="24"/>
        </w:rPr>
        <w:t xml:space="preserve"> основными показателями:</w:t>
      </w:r>
    </w:p>
    <w:p w14:paraId="09000000">
      <w:pPr>
        <w:numPr>
          <w:ilvl w:val="0"/>
          <w:numId w:val="2"/>
        </w:numPr>
        <w:tabs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зарегистрировано 205 пожаров  (АППГ - 205), на уровне прошлого года;</w:t>
      </w:r>
    </w:p>
    <w:p w14:paraId="0A000000">
      <w:pPr>
        <w:numPr>
          <w:ilvl w:val="0"/>
          <w:numId w:val="2"/>
        </w:numPr>
        <w:tabs>
          <w:tab w:leader="none" w:pos="284" w:val="left"/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материальные потери от пожаров составили более 9 миллионов рублей (АППГ – более 12 миллионов руб.), уменьшение на 25%; </w:t>
      </w:r>
    </w:p>
    <w:p w14:paraId="0B000000">
      <w:pPr>
        <w:numPr>
          <w:ilvl w:val="0"/>
          <w:numId w:val="2"/>
        </w:numPr>
        <w:tabs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при пожарах погибло 11 человек (АППГ– 7), </w:t>
      </w:r>
      <w:r>
        <w:rPr>
          <w:rStyle w:val="Style_2_ch"/>
          <w:rFonts w:ascii="Times New Roman" w:hAnsi="Times New Roman"/>
          <w:sz w:val="24"/>
        </w:rPr>
        <w:t>увеличение на 4 случая или на 57%, из них 2 детей</w:t>
      </w:r>
      <w:r>
        <w:rPr>
          <w:rFonts w:ascii="Times New Roman" w:hAnsi="Times New Roman"/>
          <w:sz w:val="24"/>
        </w:rPr>
        <w:t>;</w:t>
      </w:r>
    </w:p>
    <w:p w14:paraId="0C000000">
      <w:pPr>
        <w:numPr>
          <w:ilvl w:val="0"/>
          <w:numId w:val="2"/>
        </w:numPr>
        <w:tabs>
          <w:tab w:leader="none" w:pos="851" w:val="left"/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на пожарах травмировано 11 человек (АППГ – 7), увеличение на 4 случая или на 57%, из них 2 детей. </w:t>
      </w:r>
    </w:p>
    <w:p w14:paraId="0D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Увеличение показателя по гибели людей наблюдается в январе – 5 человек и марте – 5 человек. Гибель 9-ти че</w:t>
      </w:r>
      <w:r>
        <w:rPr>
          <w:rStyle w:val="Style_2_ch"/>
          <w:rFonts w:ascii="Times New Roman" w:hAnsi="Times New Roman"/>
          <w:sz w:val="24"/>
        </w:rPr>
        <w:t>ловек из 11-ти произошла в жилом секторе, 2 человека погибли в вагончике для жилья в таежной местности.</w:t>
      </w:r>
    </w:p>
    <w:p w14:paraId="0E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Сопутствующим фактором прироста гибели людей явились:</w:t>
      </w:r>
    </w:p>
    <w:p w14:paraId="0F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- употребление алкогольных напитков. Погибшие в 8-ми случаях из 11-ти (73%) находились в состоянии</w:t>
      </w:r>
      <w:r>
        <w:rPr>
          <w:rStyle w:val="Style_2_ch"/>
          <w:rFonts w:ascii="Times New Roman" w:hAnsi="Times New Roman"/>
          <w:sz w:val="24"/>
        </w:rPr>
        <w:t xml:space="preserve"> алкогольного опьянения и отнесенные органами социальных служб к категории неблагополучных.</w:t>
      </w:r>
    </w:p>
    <w:p w14:paraId="10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Рост количества пожаров зарегистрирован в следующих городах и районах республики, а именно: в </w:t>
      </w:r>
      <w:r>
        <w:rPr>
          <w:rStyle w:val="Style_2_ch"/>
          <w:rFonts w:ascii="Times New Roman" w:hAnsi="Times New Roman"/>
          <w:sz w:val="24"/>
        </w:rPr>
        <w:t>Кызылском</w:t>
      </w:r>
      <w:r>
        <w:rPr>
          <w:rStyle w:val="Style_2_ch"/>
          <w:rFonts w:ascii="Times New Roman" w:hAnsi="Times New Roman"/>
          <w:sz w:val="24"/>
        </w:rPr>
        <w:t xml:space="preserve"> районе – на 7 случаев (21/14); в г. Ак-Довурак – на 5</w:t>
      </w:r>
      <w:r>
        <w:rPr>
          <w:rStyle w:val="Style_2_ch"/>
          <w:rFonts w:ascii="Times New Roman" w:hAnsi="Times New Roman"/>
          <w:sz w:val="24"/>
        </w:rPr>
        <w:t xml:space="preserve"> случаев (9/4); </w:t>
      </w:r>
      <w:r>
        <w:rPr>
          <w:rStyle w:val="Style_2_ch"/>
          <w:rFonts w:ascii="Times New Roman" w:hAnsi="Times New Roman"/>
          <w:sz w:val="24"/>
        </w:rPr>
        <w:t>в</w:t>
      </w:r>
      <w:r>
        <w:rPr>
          <w:rStyle w:val="Style_2_ch"/>
          <w:rFonts w:ascii="Times New Roman" w:hAnsi="Times New Roman"/>
          <w:sz w:val="24"/>
        </w:rPr>
        <w:t xml:space="preserve"> Бай-</w:t>
      </w:r>
      <w:r>
        <w:rPr>
          <w:rStyle w:val="Style_2_ch"/>
          <w:rFonts w:ascii="Times New Roman" w:hAnsi="Times New Roman"/>
          <w:sz w:val="24"/>
        </w:rPr>
        <w:t>Тайгинском</w:t>
      </w:r>
      <w:r>
        <w:rPr>
          <w:rStyle w:val="Style_2_ch"/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районе</w:t>
      </w:r>
      <w:r>
        <w:rPr>
          <w:rStyle w:val="Style_2_ch"/>
          <w:rFonts w:ascii="Times New Roman" w:hAnsi="Times New Roman"/>
          <w:sz w:val="24"/>
        </w:rPr>
        <w:t xml:space="preserve"> – на 5 случаев (6/1); в </w:t>
      </w:r>
      <w:r>
        <w:rPr>
          <w:rStyle w:val="Style_2_ch"/>
          <w:rFonts w:ascii="Times New Roman" w:hAnsi="Times New Roman"/>
          <w:sz w:val="24"/>
        </w:rPr>
        <w:t>Каа-Хемском</w:t>
      </w:r>
      <w:r>
        <w:rPr>
          <w:rStyle w:val="Style_2_ch"/>
          <w:rFonts w:ascii="Times New Roman" w:hAnsi="Times New Roman"/>
          <w:sz w:val="24"/>
        </w:rPr>
        <w:t xml:space="preserve"> районе – на 3 случая (11/8).</w:t>
      </w:r>
    </w:p>
    <w:p w14:paraId="11000000">
      <w:pPr>
        <w:widowControl w:val="0"/>
        <w:spacing w:after="0" w:line="240" w:lineRule="auto"/>
        <w:ind w:right="182"/>
        <w:jc w:val="center"/>
        <w:rPr>
          <w:rFonts w:ascii="Times New Roman" w:hAnsi="Times New Roman"/>
          <w:sz w:val="24"/>
        </w:rPr>
      </w:pPr>
    </w:p>
    <w:p w14:paraId="12000000">
      <w:pPr>
        <w:widowControl w:val="0"/>
        <w:spacing w:after="0" w:line="240" w:lineRule="auto"/>
        <w:ind w:right="182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  <w:u w:val="single"/>
        </w:rPr>
        <w:t>Основные причины возникновения пожаров</w:t>
      </w:r>
      <w:r>
        <w:rPr>
          <w:rStyle w:val="Style_2_ch"/>
          <w:rFonts w:ascii="Times New Roman" w:hAnsi="Times New Roman"/>
          <w:sz w:val="24"/>
        </w:rPr>
        <w:t>:</w:t>
      </w:r>
    </w:p>
    <w:p w14:paraId="13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- неосторожное обращение с огнём – 113 пожаров (или 53% от общего количества пожаров) (АППГ - 103), увеличение</w:t>
      </w:r>
      <w:r>
        <w:rPr>
          <w:rStyle w:val="Style_2_ch"/>
          <w:rFonts w:ascii="Times New Roman" w:hAnsi="Times New Roman"/>
          <w:sz w:val="24"/>
        </w:rPr>
        <w:t xml:space="preserve"> на 10 случаев (или на 9,7%);</w:t>
      </w:r>
    </w:p>
    <w:p w14:paraId="14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- нарушение правил устройства и эксплуатации печей – 45 пожаров (или 21% от общего количества пожаров) (АППГ - 52), снижение на 7 случаев (или на 13%);</w:t>
      </w:r>
    </w:p>
    <w:p w14:paraId="15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- нарушение правил устройства и эксплуатации электрооборудования – 35 пожа</w:t>
      </w:r>
      <w:r>
        <w:rPr>
          <w:rStyle w:val="Style_2_ch"/>
          <w:rFonts w:ascii="Times New Roman" w:hAnsi="Times New Roman"/>
          <w:sz w:val="24"/>
        </w:rPr>
        <w:t>ров (или 16,5% от общего количества пожаров) (АППГ - 36), снижение на 1 случай (или на 3%);</w:t>
      </w:r>
    </w:p>
    <w:p w14:paraId="16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- нарушение правил эксплуатации транспортных средств – 14 пожаров (или 6,6% от общего количества пожаров) (АППГ - 13 пожаров), увеличение на 1 случай (или на 7,6%).</w:t>
      </w:r>
    </w:p>
    <w:p w14:paraId="17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Из анализа обстановки с пожарами за 1 квартал 2021, установлено, что основной прирост количества пожаров наблюдается в весенней пожароопасный сезон, а именно горение мусора, сухой травы на открытых территориях. Сопутствующим фактором прироста пожаров явил</w:t>
      </w:r>
      <w:r>
        <w:rPr>
          <w:rStyle w:val="Style_2_ch"/>
          <w:rFonts w:ascii="Times New Roman" w:hAnsi="Times New Roman"/>
          <w:sz w:val="24"/>
        </w:rPr>
        <w:t>ось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раннее наступление и установление аномально жаркой и сухой погоды по сравнению с аналогичным периодом прошлого года (среднесуточная температура воздуха превышала с марта по апрель климатическую норму на 7 градусов).</w:t>
      </w:r>
    </w:p>
    <w:p w14:paraId="18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b w:val="1"/>
          <w:sz w:val="24"/>
          <w:u w:val="single"/>
        </w:rPr>
        <w:t>2. Административная и уголовно-проц</w:t>
      </w:r>
      <w:r>
        <w:rPr>
          <w:rStyle w:val="Style_2_ch"/>
          <w:rFonts w:ascii="Times New Roman" w:hAnsi="Times New Roman"/>
          <w:b w:val="1"/>
          <w:sz w:val="24"/>
          <w:u w:val="single"/>
        </w:rPr>
        <w:t>ессуальная деятельность</w:t>
      </w:r>
      <w:r>
        <w:rPr>
          <w:rFonts w:ascii="Times New Roman" w:hAnsi="Times New Roman"/>
          <w:sz w:val="24"/>
        </w:rPr>
        <w:t>.</w:t>
      </w:r>
    </w:p>
    <w:p w14:paraId="1A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При проведении анализа работы подразделений надзорной деятельности по исполнению административного законодательства в рамках проведения мероприятий по контролю (надзору) на объектах надзора, за 1 квартал</w:t>
      </w:r>
      <w:r>
        <w:rPr>
          <w:rStyle w:val="Style_2_ch"/>
          <w:rFonts w:ascii="Times New Roman" w:hAnsi="Times New Roman"/>
          <w:sz w:val="24"/>
        </w:rPr>
        <w:t xml:space="preserve"> </w:t>
      </w:r>
      <w:bookmarkStart w:id="1" w:name="_GoBack"/>
      <w:bookmarkEnd w:id="1"/>
      <w:r>
        <w:rPr>
          <w:rStyle w:val="Style_2_ch"/>
          <w:rFonts w:ascii="Times New Roman" w:hAnsi="Times New Roman"/>
          <w:sz w:val="24"/>
        </w:rPr>
        <w:t>2021 года по результатам про</w:t>
      </w:r>
      <w:r>
        <w:rPr>
          <w:rStyle w:val="Style_2_ch"/>
          <w:rFonts w:ascii="Times New Roman" w:hAnsi="Times New Roman"/>
          <w:sz w:val="24"/>
        </w:rPr>
        <w:t xml:space="preserve">веденных мероприятий по контролю (надзору) должностными лицами управления надзорной деятельности и профилактической работы (далее ГПН) по выявленным правонарушениям в части не исполнения требований пожарной </w:t>
      </w:r>
      <w:r>
        <w:rPr>
          <w:rStyle w:val="Style_2_ch"/>
          <w:rFonts w:ascii="Times New Roman" w:hAnsi="Times New Roman"/>
          <w:sz w:val="24"/>
        </w:rPr>
        <w:t>безопасности составлено 122 административных прот</w:t>
      </w:r>
      <w:r>
        <w:rPr>
          <w:rStyle w:val="Style_2_ch"/>
          <w:rFonts w:ascii="Times New Roman" w:hAnsi="Times New Roman"/>
          <w:sz w:val="24"/>
        </w:rPr>
        <w:t xml:space="preserve">окола. В сравнении с аналогичным периодом прошлого года (далее АППГ) произошло увеличение количества составляемых административных протоколов на 87,6 % (АППГ – 65). </w:t>
      </w:r>
    </w:p>
    <w:p w14:paraId="1B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Как и ранее основным субъектом, в отношении которого составлялись административные дела по</w:t>
      </w:r>
      <w:r>
        <w:rPr>
          <w:rStyle w:val="Style_2_ch"/>
          <w:rFonts w:ascii="Times New Roman" w:hAnsi="Times New Roman"/>
          <w:sz w:val="24"/>
        </w:rPr>
        <w:t xml:space="preserve"> ст. 20.4 КоАП РФ, являются физические лица 115 протоколов (АППГ-57), что составляет 94,2 % от общего количества возбужденных административных дел и 7 протоколов (АППГ-3) в отношении юридических лиц, что составляет 5,7 % от общего количества административн</w:t>
      </w:r>
      <w:r>
        <w:rPr>
          <w:rStyle w:val="Style_2_ch"/>
          <w:rFonts w:ascii="Times New Roman" w:hAnsi="Times New Roman"/>
          <w:sz w:val="24"/>
        </w:rPr>
        <w:t>ых дел.</w:t>
      </w:r>
    </w:p>
    <w:p w14:paraId="1C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Одним из основных показателей деятельности органов государственного пожарного надзора является исполнение постановлений о наложении административного взыскания в виде штрафа. </w:t>
      </w:r>
      <w:r>
        <w:rPr>
          <w:rStyle w:val="Style_2_ch"/>
          <w:rFonts w:ascii="Times New Roman" w:hAnsi="Times New Roman"/>
          <w:sz w:val="24"/>
        </w:rPr>
        <w:t>Данный показатель по Республике Тыва (по данным представленным территориа</w:t>
      </w:r>
      <w:r>
        <w:rPr>
          <w:rStyle w:val="Style_2_ch"/>
          <w:rFonts w:ascii="Times New Roman" w:hAnsi="Times New Roman"/>
          <w:sz w:val="24"/>
        </w:rPr>
        <w:t>льными подразделениями) составил более 10% (Из 37 постановлений на сумму 527 тыс. руб.) постановлений исполнено 4 на сумму 24 тыс. руб.).</w:t>
      </w:r>
      <w:r>
        <w:rPr>
          <w:rStyle w:val="Style_2_ch"/>
          <w:rFonts w:ascii="Times New Roman" w:hAnsi="Times New Roman"/>
          <w:sz w:val="24"/>
        </w:rPr>
        <w:t xml:space="preserve"> Средний процент исполнения постановлений обусловлен тем, что показатель деятельности органов ГПН в данном направлении </w:t>
      </w:r>
      <w:r>
        <w:rPr>
          <w:rStyle w:val="Style_2_ch"/>
          <w:rFonts w:ascii="Times New Roman" w:hAnsi="Times New Roman"/>
          <w:sz w:val="24"/>
        </w:rPr>
        <w:t>оценивается с учетом срока обжалования постановления и срока добровольного его исполнения, что составляет 60 суток и с учетом 10 дней на вступление постановления в законную силу в общем 70 дней.</w:t>
      </w:r>
    </w:p>
    <w:p w14:paraId="1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На данный момент, в добровольном порядке правонарушителями и </w:t>
      </w:r>
      <w:r>
        <w:rPr>
          <w:rStyle w:val="Style_2_ch"/>
          <w:rFonts w:ascii="Times New Roman" w:hAnsi="Times New Roman"/>
          <w:sz w:val="24"/>
        </w:rPr>
        <w:t>службой судебных приставов исполняются за прошлые 2019-2020 года.</w:t>
      </w:r>
    </w:p>
    <w:p w14:paraId="1E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На данный момент истекают сроки добровольной оплаты правонарушителями штрафов наложенных в декабре 2020 года и январе 2021 года. </w:t>
      </w:r>
      <w:r>
        <w:rPr>
          <w:rStyle w:val="Style_2_ch"/>
          <w:rFonts w:ascii="Times New Roman" w:hAnsi="Times New Roman"/>
          <w:sz w:val="24"/>
        </w:rPr>
        <w:t xml:space="preserve">В 1 квартале 2021 года на принудительное исполнение в службу </w:t>
      </w:r>
      <w:r>
        <w:rPr>
          <w:rStyle w:val="Style_2_ch"/>
          <w:rFonts w:ascii="Times New Roman" w:hAnsi="Times New Roman"/>
          <w:sz w:val="24"/>
        </w:rPr>
        <w:t>судебных приставов-исполнителей направлены не исполненные 5 постановлений о привлечении правонарушителей к административной ответственности в виде штрафа на сумму 30 тыс. рублей.</w:t>
      </w:r>
    </w:p>
    <w:p w14:paraId="1F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Отметить с положительной стороны работу в данном направлении по исполнению </w:t>
      </w:r>
      <w:r>
        <w:rPr>
          <w:rStyle w:val="Style_2_ch"/>
          <w:rFonts w:ascii="Times New Roman" w:hAnsi="Times New Roman"/>
          <w:sz w:val="24"/>
        </w:rPr>
        <w:t xml:space="preserve">постановлений в виде штрафа можно </w:t>
      </w:r>
      <w:r>
        <w:rPr>
          <w:rStyle w:val="Style_2_ch"/>
          <w:rFonts w:ascii="Times New Roman" w:hAnsi="Times New Roman"/>
          <w:sz w:val="24"/>
        </w:rPr>
        <w:t>ОНДиПР</w:t>
      </w:r>
      <w:r>
        <w:rPr>
          <w:rStyle w:val="Style_2_ch"/>
          <w:rFonts w:ascii="Times New Roman" w:hAnsi="Times New Roman"/>
          <w:sz w:val="24"/>
        </w:rPr>
        <w:t xml:space="preserve"> Пий-</w:t>
      </w:r>
      <w:r>
        <w:rPr>
          <w:rStyle w:val="Style_2_ch"/>
          <w:rFonts w:ascii="Times New Roman" w:hAnsi="Times New Roman"/>
          <w:sz w:val="24"/>
        </w:rPr>
        <w:t>Хемского</w:t>
      </w:r>
      <w:r>
        <w:rPr>
          <w:rStyle w:val="Style_2_ch"/>
          <w:rFonts w:ascii="Times New Roman" w:hAnsi="Times New Roman"/>
          <w:sz w:val="24"/>
        </w:rPr>
        <w:t xml:space="preserve"> района и </w:t>
      </w:r>
      <w:r>
        <w:rPr>
          <w:rStyle w:val="Style_2_ch"/>
          <w:rFonts w:ascii="Times New Roman" w:hAnsi="Times New Roman"/>
          <w:sz w:val="24"/>
        </w:rPr>
        <w:t>Тандинского</w:t>
      </w:r>
      <w:r>
        <w:rPr>
          <w:rStyle w:val="Style_2_ch"/>
          <w:rFonts w:ascii="Times New Roman" w:hAnsi="Times New Roman"/>
          <w:sz w:val="24"/>
        </w:rPr>
        <w:t xml:space="preserve"> и </w:t>
      </w:r>
      <w:r>
        <w:rPr>
          <w:rStyle w:val="Style_2_ch"/>
          <w:rFonts w:ascii="Times New Roman" w:hAnsi="Times New Roman"/>
          <w:sz w:val="24"/>
        </w:rPr>
        <w:t>Чеди-Хольского</w:t>
      </w:r>
      <w:r>
        <w:rPr>
          <w:rStyle w:val="Style_2_ch"/>
          <w:rFonts w:ascii="Times New Roman" w:hAnsi="Times New Roman"/>
          <w:sz w:val="24"/>
        </w:rPr>
        <w:t xml:space="preserve"> районов, в свою очередь со стороны управления надзорной деятельности и профилактической работы (далее - </w:t>
      </w:r>
      <w:r>
        <w:rPr>
          <w:rStyle w:val="Style_2_ch"/>
          <w:rFonts w:ascii="Times New Roman" w:hAnsi="Times New Roman"/>
          <w:sz w:val="24"/>
        </w:rPr>
        <w:t>УНДиПР</w:t>
      </w:r>
      <w:r>
        <w:rPr>
          <w:rStyle w:val="Style_2_ch"/>
          <w:rFonts w:ascii="Times New Roman" w:hAnsi="Times New Roman"/>
          <w:sz w:val="24"/>
        </w:rPr>
        <w:t>) Главного управления МЧС России по Республике Тыва (д</w:t>
      </w:r>
      <w:r>
        <w:rPr>
          <w:rStyle w:val="Style_2_ch"/>
          <w:rFonts w:ascii="Times New Roman" w:hAnsi="Times New Roman"/>
          <w:sz w:val="24"/>
        </w:rPr>
        <w:t xml:space="preserve">алее - ГУ), усилена работа по проведению сверок со службой судебных приставов, а также с </w:t>
      </w:r>
      <w:r>
        <w:rPr>
          <w:rStyle w:val="Style_2_ch"/>
          <w:rFonts w:ascii="Times New Roman" w:hAnsi="Times New Roman"/>
          <w:sz w:val="24"/>
        </w:rPr>
        <w:t>лицами</w:t>
      </w:r>
      <w:r>
        <w:rPr>
          <w:rStyle w:val="Style_2_ch"/>
          <w:rFonts w:ascii="Times New Roman" w:hAnsi="Times New Roman"/>
          <w:sz w:val="24"/>
        </w:rPr>
        <w:t xml:space="preserve"> уклоняющимися от оплаты назначенных административных штрафов в добровольном порядке. </w:t>
      </w:r>
    </w:p>
    <w:p w14:paraId="20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В 1 квартале 2021 года должностными лицами территориальных подразделений у</w:t>
      </w:r>
      <w:r>
        <w:rPr>
          <w:rStyle w:val="Style_2_ch"/>
          <w:rFonts w:ascii="Times New Roman" w:hAnsi="Times New Roman"/>
          <w:sz w:val="24"/>
        </w:rPr>
        <w:t xml:space="preserve">правления надзорной деятельности и профилактической работы ГУ совместно с территориальными подразделениями управления федеральной службы судебных приставов по Республике Тыва проведены совместные ежемесячные сверки исполнительных производств, возбужденные </w:t>
      </w:r>
      <w:r>
        <w:rPr>
          <w:rStyle w:val="Style_2_ch"/>
          <w:rFonts w:ascii="Times New Roman" w:hAnsi="Times New Roman"/>
          <w:sz w:val="24"/>
        </w:rPr>
        <w:t>на основании постановлений о наложении административного наказания в виде штрафа, направленные на принудительное исполнение территориальными органами ГПН, а также проведены рейдовые мероприятия, направленные на адресное</w:t>
      </w:r>
      <w:r>
        <w:rPr>
          <w:rStyle w:val="Style_2_ch"/>
          <w:rFonts w:ascii="Times New Roman" w:hAnsi="Times New Roman"/>
          <w:sz w:val="24"/>
        </w:rPr>
        <w:t xml:space="preserve"> посещение </w:t>
      </w:r>
      <w:r>
        <w:rPr>
          <w:rStyle w:val="Style_2_ch"/>
          <w:rFonts w:ascii="Times New Roman" w:hAnsi="Times New Roman"/>
          <w:sz w:val="24"/>
        </w:rPr>
        <w:t>физических лиц, являющихся</w:t>
      </w:r>
      <w:r>
        <w:rPr>
          <w:rStyle w:val="Style_2_ch"/>
          <w:rFonts w:ascii="Times New Roman" w:hAnsi="Times New Roman"/>
          <w:sz w:val="24"/>
        </w:rPr>
        <w:t xml:space="preserve"> должниками по исполнительным производствам на основании постановлений о наложении административного наказания в виде штрафа и осуществлена</w:t>
      </w:r>
      <w:r>
        <w:rPr>
          <w:rStyle w:val="Style_2_ch"/>
          <w:rFonts w:ascii="Times New Roman" w:hAnsi="Times New Roman"/>
          <w:sz w:val="24"/>
        </w:rPr>
        <w:t xml:space="preserve"> профилактическая беседа с должниками. В результате совместных рейдовых мероприятий было исполнено 2  постановления о</w:t>
      </w:r>
      <w:r>
        <w:rPr>
          <w:rStyle w:val="Style_2_ch"/>
          <w:rFonts w:ascii="Times New Roman" w:hAnsi="Times New Roman"/>
          <w:sz w:val="24"/>
        </w:rPr>
        <w:t>б административном правонарушении на общую сумму 4 тыс. рублей.</w:t>
      </w:r>
    </w:p>
    <w:p w14:paraId="21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За правонарушения против порядка управления (раздел 19 КоАП РФ) органами ГПН составлено 23 административных протокола, что составляет 18,8% от общего количества составленных протоколов. Основн</w:t>
      </w:r>
      <w:r>
        <w:rPr>
          <w:rStyle w:val="Style_2_ch"/>
          <w:rFonts w:ascii="Times New Roman" w:hAnsi="Times New Roman"/>
          <w:sz w:val="24"/>
        </w:rPr>
        <w:t>ой упор был сделан на привлечение к административной ответственности за невыполнение в срок законного предписания должностного лица, осуществляющего государственный пожарный надзор (ч. 12 ст. 19.5 – 7, ч. 13 ст. 19.5 – 16, ч. 14 ст. 19.5 - 0) как более при</w:t>
      </w:r>
      <w:r>
        <w:rPr>
          <w:rStyle w:val="Style_2_ch"/>
          <w:rFonts w:ascii="Times New Roman" w:hAnsi="Times New Roman"/>
          <w:sz w:val="24"/>
        </w:rPr>
        <w:t xml:space="preserve">емлемой меры административного воздействия в отношении нарушителей требований пожарной безопасности. </w:t>
      </w:r>
    </w:p>
    <w:p w14:paraId="22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За 1 квартал 2021 года подразделениями </w:t>
      </w:r>
      <w:r>
        <w:rPr>
          <w:rStyle w:val="Style_2_ch"/>
          <w:rFonts w:ascii="Times New Roman" w:hAnsi="Times New Roman"/>
          <w:sz w:val="24"/>
        </w:rPr>
        <w:t>УНДиПР</w:t>
      </w:r>
      <w:r>
        <w:rPr>
          <w:rStyle w:val="Style_2_ch"/>
          <w:rFonts w:ascii="Times New Roman" w:hAnsi="Times New Roman"/>
          <w:sz w:val="24"/>
        </w:rPr>
        <w:t xml:space="preserve"> направлено в суды Республики Тыва 23 </w:t>
      </w:r>
      <w:r>
        <w:rPr>
          <w:rStyle w:val="Style_2_ch"/>
          <w:rFonts w:ascii="Times New Roman" w:hAnsi="Times New Roman"/>
          <w:sz w:val="24"/>
        </w:rPr>
        <w:t>административных</w:t>
      </w:r>
      <w:r>
        <w:rPr>
          <w:rStyle w:val="Style_2_ch"/>
          <w:rFonts w:ascii="Times New Roman" w:hAnsi="Times New Roman"/>
          <w:sz w:val="24"/>
        </w:rPr>
        <w:t xml:space="preserve"> дела. Из общей массы административных дел направленных</w:t>
      </w:r>
      <w:r>
        <w:rPr>
          <w:rStyle w:val="Style_2_ch"/>
          <w:rFonts w:ascii="Times New Roman" w:hAnsi="Times New Roman"/>
          <w:sz w:val="24"/>
        </w:rPr>
        <w:t xml:space="preserve"> в суд, административные дела для рассмотрения вопроса об административном приостановлении деятельности объектов находящихся в пожароопасном состоянии и угрожающих жизни и здоровью людей не направлялись.</w:t>
      </w:r>
    </w:p>
    <w:p w14:paraId="23000000">
      <w:pPr>
        <w:spacing w:after="0" w:line="240" w:lineRule="auto"/>
        <w:ind w:firstLine="709" w:right="-5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С целью </w:t>
      </w:r>
      <w:r>
        <w:rPr>
          <w:rStyle w:val="Style_2_ch"/>
          <w:rFonts w:ascii="Times New Roman" w:hAnsi="Times New Roman"/>
          <w:sz w:val="24"/>
        </w:rPr>
        <w:t>профилактики нарушений исполнения</w:t>
      </w:r>
      <w:r>
        <w:rPr>
          <w:rStyle w:val="Style_2_ch"/>
          <w:rFonts w:ascii="Times New Roman" w:hAnsi="Times New Roman"/>
          <w:sz w:val="24"/>
        </w:rPr>
        <w:t xml:space="preserve"> законодательства Российской Федерации</w:t>
      </w:r>
      <w:r>
        <w:rPr>
          <w:rStyle w:val="Style_2_ch"/>
          <w:rFonts w:ascii="Times New Roman" w:hAnsi="Times New Roman"/>
          <w:sz w:val="24"/>
        </w:rPr>
        <w:t xml:space="preserve"> должностными лицами надзорных органов ГУ при осуществлении мероприятий по надзору органами прокуратуры республики ежеквартально проводятся проверки деятельности инспекторского состава во всех муниципальных районах. </w:t>
      </w:r>
    </w:p>
    <w:p w14:paraId="24000000">
      <w:pPr>
        <w:spacing w:after="0" w:line="240" w:lineRule="auto"/>
        <w:ind w:firstLine="709" w:right="-5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Т</w:t>
      </w:r>
      <w:r>
        <w:rPr>
          <w:rStyle w:val="Style_2_ch"/>
          <w:rFonts w:ascii="Times New Roman" w:hAnsi="Times New Roman"/>
          <w:sz w:val="24"/>
        </w:rPr>
        <w:t>ак, в 1 квартале 2021 года органами прокуратуры в 10-ти территориальных подразделениях управления надзорной деятельности и профилактической работы было проведено 5 проверок (за аналогичный период прошлого года – 4 проверок, уменьшение на 1 проверку).</w:t>
      </w:r>
    </w:p>
    <w:p w14:paraId="25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По ре</w:t>
      </w:r>
      <w:r>
        <w:rPr>
          <w:rStyle w:val="Style_2_ch"/>
          <w:rFonts w:ascii="Times New Roman" w:hAnsi="Times New Roman"/>
          <w:sz w:val="24"/>
        </w:rPr>
        <w:t xml:space="preserve">зультатам проведённых проверок в 1 квартале 2021 года из органов прокуратуры республики в </w:t>
      </w:r>
      <w:r>
        <w:rPr>
          <w:rStyle w:val="Style_2_ch"/>
          <w:rFonts w:ascii="Times New Roman" w:hAnsi="Times New Roman"/>
          <w:sz w:val="24"/>
        </w:rPr>
        <w:t>УНДиПР</w:t>
      </w:r>
      <w:r>
        <w:rPr>
          <w:rStyle w:val="Style_2_ch"/>
          <w:rFonts w:ascii="Times New Roman" w:hAnsi="Times New Roman"/>
          <w:sz w:val="24"/>
        </w:rPr>
        <w:t xml:space="preserve"> поступили 4 представления об устранении нарушений, связанных с осуществлением надзорных функций и проведением дознания в </w:t>
      </w:r>
      <w:r>
        <w:rPr>
          <w:rStyle w:val="Style_2_ch"/>
          <w:rFonts w:ascii="Times New Roman" w:hAnsi="Times New Roman"/>
          <w:sz w:val="24"/>
        </w:rPr>
        <w:t>УНДиПР</w:t>
      </w:r>
      <w:r>
        <w:rPr>
          <w:rStyle w:val="Style_2_ch"/>
          <w:rFonts w:ascii="Times New Roman" w:hAnsi="Times New Roman"/>
          <w:sz w:val="24"/>
        </w:rPr>
        <w:t xml:space="preserve"> (АППГ - 0, увеличение на 4 случ</w:t>
      </w:r>
      <w:r>
        <w:rPr>
          <w:rStyle w:val="Style_2_ch"/>
          <w:rFonts w:ascii="Times New Roman" w:hAnsi="Times New Roman"/>
          <w:sz w:val="24"/>
        </w:rPr>
        <w:t>ая).</w:t>
      </w:r>
    </w:p>
    <w:p w14:paraId="26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Нарушения законодательства, изложенные в представлениях из органа прокуратуры в поступивших за прошлые отчетные периоды это:</w:t>
      </w:r>
    </w:p>
    <w:p w14:paraId="27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- нарушение </w:t>
      </w:r>
      <w:r>
        <w:rPr>
          <w:rStyle w:val="Style_2_ch"/>
          <w:rFonts w:ascii="Times New Roman" w:hAnsi="Times New Roman"/>
          <w:sz w:val="24"/>
        </w:rPr>
        <w:t>при представлении статистической отчетности в орган прокуратуры по решениям принятым по итогам рассмотрения сообще</w:t>
      </w:r>
      <w:r>
        <w:rPr>
          <w:rStyle w:val="Style_2_ch"/>
          <w:rFonts w:ascii="Times New Roman" w:hAnsi="Times New Roman"/>
          <w:sz w:val="24"/>
        </w:rPr>
        <w:t>ний о преступлениях</w:t>
      </w:r>
      <w:r>
        <w:rPr>
          <w:rStyle w:val="Style_2_ch"/>
          <w:rFonts w:ascii="Times New Roman" w:hAnsi="Times New Roman"/>
          <w:sz w:val="24"/>
        </w:rPr>
        <w:t xml:space="preserve"> (приказом ГУ привлечен к дисциплинарной ответственности в виде замечания </w:t>
      </w:r>
      <w:r>
        <w:rPr>
          <w:rStyle w:val="Style_2_ch"/>
          <w:rFonts w:ascii="Times New Roman" w:hAnsi="Times New Roman"/>
          <w:sz w:val="24"/>
        </w:rPr>
        <w:t>Салчак</w:t>
      </w:r>
      <w:r>
        <w:rPr>
          <w:rStyle w:val="Style_2_ch"/>
          <w:rFonts w:ascii="Times New Roman" w:hAnsi="Times New Roman"/>
          <w:sz w:val="24"/>
        </w:rPr>
        <w:t xml:space="preserve"> А.В.).</w:t>
      </w:r>
    </w:p>
    <w:p w14:paraId="28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- нарушение требований ФЗ-294 при проведении контрольно-надзорных мероприятий (приказами ГУ привлечены к дисциплинарной ответственности в виде выгово</w:t>
      </w:r>
      <w:r>
        <w:rPr>
          <w:rStyle w:val="Style_2_ch"/>
          <w:rFonts w:ascii="Times New Roman" w:hAnsi="Times New Roman"/>
          <w:sz w:val="24"/>
        </w:rPr>
        <w:t xml:space="preserve">ра </w:t>
      </w:r>
      <w:r>
        <w:rPr>
          <w:rStyle w:val="Style_2_ch"/>
          <w:rFonts w:ascii="Times New Roman" w:hAnsi="Times New Roman"/>
          <w:sz w:val="24"/>
        </w:rPr>
        <w:t>Думен-Байыр</w:t>
      </w:r>
      <w:r>
        <w:rPr>
          <w:rStyle w:val="Style_2_ch"/>
          <w:rFonts w:ascii="Times New Roman" w:hAnsi="Times New Roman"/>
          <w:sz w:val="24"/>
        </w:rPr>
        <w:t xml:space="preserve"> Ч.А, Корнякова А.В. и </w:t>
      </w:r>
      <w:r>
        <w:rPr>
          <w:rStyle w:val="Style_2_ch"/>
          <w:rFonts w:ascii="Times New Roman" w:hAnsi="Times New Roman"/>
          <w:sz w:val="24"/>
        </w:rPr>
        <w:t>Доптан</w:t>
      </w:r>
      <w:r>
        <w:rPr>
          <w:rStyle w:val="Style_2_ch"/>
          <w:rFonts w:ascii="Times New Roman" w:hAnsi="Times New Roman"/>
          <w:sz w:val="24"/>
        </w:rPr>
        <w:t xml:space="preserve"> О.В.). </w:t>
      </w:r>
    </w:p>
    <w:p w14:paraId="29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По резу</w:t>
      </w:r>
      <w:r>
        <w:rPr>
          <w:rStyle w:val="Style_2_ch"/>
          <w:rFonts w:ascii="Times New Roman" w:hAnsi="Times New Roman"/>
          <w:sz w:val="24"/>
        </w:rPr>
        <w:t>льтатам рассмотрения поступивших из органов прокуратуры представлений об устранении допущенных наруше</w:t>
      </w:r>
      <w:r>
        <w:rPr>
          <w:rStyle w:val="Style_2_ch"/>
          <w:rFonts w:ascii="Times New Roman" w:hAnsi="Times New Roman"/>
          <w:sz w:val="24"/>
        </w:rPr>
        <w:t>ний должностными лицами органов ГПН, привлечено к дисциплинарной ответственности 4 должностных л</w:t>
      </w:r>
      <w:r>
        <w:rPr>
          <w:rStyle w:val="Style_2_ch"/>
          <w:rFonts w:ascii="Times New Roman" w:hAnsi="Times New Roman"/>
          <w:sz w:val="24"/>
        </w:rPr>
        <w:t>ица органов ГПН.</w:t>
      </w:r>
    </w:p>
    <w:p w14:paraId="2A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3. Организация надзорно-профилактических мероприятий в области пожарной безопасности</w:t>
      </w:r>
      <w:r>
        <w:rPr>
          <w:rFonts w:ascii="Times New Roman" w:hAnsi="Times New Roman"/>
          <w:sz w:val="24"/>
          <w:u w:val="single"/>
        </w:rPr>
        <w:t>.</w:t>
      </w:r>
    </w:p>
    <w:p w14:paraId="2C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В 2021 году на учете ГУ находится 3965 объектов надзора в области пожарной безопасности (АППГ - 3032, +30,8%). В соответствии с требованиями нормативных</w:t>
      </w:r>
      <w:r>
        <w:rPr>
          <w:rStyle w:val="Style_2_ch"/>
          <w:rFonts w:ascii="Times New Roman" w:hAnsi="Times New Roman"/>
          <w:sz w:val="24"/>
        </w:rPr>
        <w:t xml:space="preserve"> документов, регламентирующих применение </w:t>
      </w:r>
      <w:r>
        <w:rPr>
          <w:rStyle w:val="Style_2_ch"/>
          <w:rFonts w:ascii="Times New Roman" w:hAnsi="Times New Roman"/>
          <w:sz w:val="24"/>
        </w:rPr>
        <w:t>риск-ориентированного</w:t>
      </w:r>
      <w:r>
        <w:rPr>
          <w:rStyle w:val="Style_2_ch"/>
          <w:rFonts w:ascii="Times New Roman" w:hAnsi="Times New Roman"/>
          <w:sz w:val="24"/>
        </w:rPr>
        <w:t xml:space="preserve"> подхода при распределении объектов и организации отдельных видов государственного контроля в ГУ по итогам 1 квартала определено:</w:t>
      </w:r>
    </w:p>
    <w:p w14:paraId="2D000000">
      <w:pPr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288 объектов чрезвычайно высокого риска (АППГ - 288);</w:t>
      </w:r>
    </w:p>
    <w:p w14:paraId="2E000000">
      <w:pPr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290 объект</w:t>
      </w:r>
      <w:r>
        <w:rPr>
          <w:rStyle w:val="Style_2_ch"/>
          <w:rFonts w:ascii="Times New Roman" w:hAnsi="Times New Roman"/>
          <w:sz w:val="24"/>
        </w:rPr>
        <w:t>ов высокого риска (АППГ - 290);</w:t>
      </w:r>
    </w:p>
    <w:p w14:paraId="2F00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410 объектов значительного риска (АППГ - 410);</w:t>
      </w:r>
    </w:p>
    <w:p w14:paraId="30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57 объектов среднего риска (АППГ - 242, - в 4,2 раза);</w:t>
      </w:r>
    </w:p>
    <w:p w14:paraId="31000000">
      <w:pPr>
        <w:numPr>
          <w:ilvl w:val="0"/>
          <w:numId w:val="7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587 объектов умеренного риска (АППГ - 498, +17,8%);</w:t>
      </w:r>
    </w:p>
    <w:p w14:paraId="32000000">
      <w:pPr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2333 объектов низкого риска (АППГ - 1304, + в 1,79 раза).</w:t>
      </w:r>
    </w:p>
    <w:p w14:paraId="33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При этом, в соответствии с постановлением Правительства РФ от 12.10.2020 №1662 «О внесении изменений в Положение о федеральном государственном пожарном надзоре», управлением надзорной деятельности и профилактической работы Главного управления (далее - УНД </w:t>
      </w:r>
      <w:r>
        <w:rPr>
          <w:rStyle w:val="Style_2_ch"/>
          <w:rFonts w:ascii="Times New Roman" w:hAnsi="Times New Roman"/>
          <w:sz w:val="24"/>
        </w:rPr>
        <w:t xml:space="preserve">и </w:t>
      </w:r>
      <w:r>
        <w:rPr>
          <w:rStyle w:val="Style_2_ch"/>
          <w:rFonts w:ascii="Times New Roman" w:hAnsi="Times New Roman"/>
          <w:sz w:val="24"/>
        </w:rPr>
        <w:t>ПР</w:t>
      </w:r>
      <w:r>
        <w:rPr>
          <w:rStyle w:val="Style_2_ch"/>
          <w:rFonts w:ascii="Times New Roman" w:hAnsi="Times New Roman"/>
          <w:sz w:val="24"/>
        </w:rPr>
        <w:t>) в настоящее время вновь производится формирование перечня поднадзорных объектов защиты расположенных на территории Республики Тыва в соответствии с критериями отнесения их к категориям риска.</w:t>
      </w:r>
    </w:p>
    <w:p w14:paraId="34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Окончательный перечень объектов защиты планируется сформир</w:t>
      </w:r>
      <w:r>
        <w:rPr>
          <w:rStyle w:val="Style_2_ch"/>
          <w:rFonts w:ascii="Times New Roman" w:hAnsi="Times New Roman"/>
          <w:sz w:val="24"/>
        </w:rPr>
        <w:t>овать и утвердить в июле 2021 года.</w:t>
      </w:r>
    </w:p>
    <w:p w14:paraId="35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Всего органами ГПН в 1 квартале 2021 года было запланировано 142 плановых проверки (АППГ - 89), из них проведено 138 (АППГ - 78, + в 1,77 раза).</w:t>
      </w:r>
      <w:r>
        <w:rPr>
          <w:rStyle w:val="Style_2_ch"/>
          <w:rFonts w:ascii="Times New Roman" w:hAnsi="Times New Roman"/>
          <w:sz w:val="24"/>
        </w:rPr>
        <w:t xml:space="preserve"> Не проведены 4 плановые проверки в связи с прекращением деятельности юридич</w:t>
      </w:r>
      <w:r>
        <w:rPr>
          <w:rStyle w:val="Style_2_ch"/>
          <w:rFonts w:ascii="Times New Roman" w:hAnsi="Times New Roman"/>
          <w:sz w:val="24"/>
        </w:rPr>
        <w:t>еских лиц. План реализован на 97%.</w:t>
      </w:r>
    </w:p>
    <w:p w14:paraId="36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При проведении плановых проверок выдано 83 предписания об устранении нарушений требований пожарной безопасности (АППГ - 39, + в 2,1 раза), выявлено 768 нарушений требований пожарной безопасности (АППГ - 151, + в 5,08 раза</w:t>
      </w:r>
      <w:r>
        <w:rPr>
          <w:rStyle w:val="Style_2_ch"/>
          <w:rFonts w:ascii="Times New Roman" w:hAnsi="Times New Roman"/>
          <w:sz w:val="24"/>
        </w:rPr>
        <w:t xml:space="preserve">). За нарушения требований пожарной безопасности к административной ответственности привлечено 83 должностных и юридических лиц, из них в виде штрафа - 35, в виде предупреждения – 48.  </w:t>
      </w:r>
    </w:p>
    <w:p w14:paraId="37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За отчетный период проведено 54 внеплановые проверки в области ОПБ (АП</w:t>
      </w:r>
      <w:r>
        <w:rPr>
          <w:rStyle w:val="Style_2_ch"/>
          <w:rFonts w:ascii="Times New Roman" w:hAnsi="Times New Roman"/>
          <w:sz w:val="24"/>
        </w:rPr>
        <w:t>ПГ - 78, -</w:t>
      </w:r>
      <w:r>
        <w:rPr>
          <w:rStyle w:val="Style_2_ch"/>
          <w:rFonts w:ascii="Times New Roman" w:hAnsi="Times New Roman"/>
          <w:sz w:val="24"/>
        </w:rPr>
        <w:t>30,77%). Внеплановые проверки проводились по следующим основаниям:</w:t>
      </w:r>
    </w:p>
    <w:p w14:paraId="38000000">
      <w:pPr>
        <w:widowControl w:val="0"/>
        <w:numPr>
          <w:ilvl w:val="0"/>
          <w:numId w:val="9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истечения срока исполнения предписания – 53 проверки (АППГ - 76, -30,2%);</w:t>
      </w:r>
    </w:p>
    <w:p w14:paraId="39000000">
      <w:pPr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по факту поступления в органы государственного пожарного надзора требования прокурора о проведении внепла</w:t>
      </w:r>
      <w:r>
        <w:rPr>
          <w:rStyle w:val="Style_2_ch"/>
          <w:rFonts w:ascii="Times New Roman" w:hAnsi="Times New Roman"/>
          <w:sz w:val="24"/>
        </w:rPr>
        <w:t>новой проверки в рамках надзора за исполнением законов по поступившим в органы прокуратуры Российской Федерации материалам и обращениям – 1 проверка (АППГ - 0)</w:t>
      </w:r>
      <w:r>
        <w:rPr>
          <w:rFonts w:ascii="Times New Roman" w:hAnsi="Times New Roman"/>
          <w:sz w:val="24"/>
        </w:rPr>
        <w:t>;</w:t>
      </w:r>
    </w:p>
    <w:p w14:paraId="3A000000">
      <w:pPr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поступление в органы государственного пожарного надзора информации об угрозе причинения вреда ж</w:t>
      </w:r>
      <w:r>
        <w:rPr>
          <w:rFonts w:ascii="Times New Roman" w:hAnsi="Times New Roman"/>
          <w:sz w:val="24"/>
        </w:rPr>
        <w:t>изни, здоровью граждан – 0 (АППГ - 1);</w:t>
      </w:r>
    </w:p>
    <w:p w14:paraId="3B000000">
      <w:pPr>
        <w:widowControl w:val="0"/>
        <w:numPr>
          <w:ilvl w:val="0"/>
          <w:numId w:val="10"/>
        </w:num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поступлении в органы государственного пожарного надзора сведений от организаций, уполномоченных владеть, пользоваться или распоряжаться объектом защиты, о вводе объекта защиты в эксплуатацию после строительства, т</w:t>
      </w:r>
      <w:r>
        <w:rPr>
          <w:rFonts w:ascii="Times New Roman" w:hAnsi="Times New Roman"/>
          <w:sz w:val="24"/>
        </w:rPr>
        <w:t>ехнического перевооружения, реконструкции, капитального ремонта или об изменении его класса функциональной пожарной безопасности – 0 (АППГ - 1).</w:t>
      </w:r>
    </w:p>
    <w:p w14:paraId="3C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Дополнительно, инспекторский состав органов ГПН в течение отчетного периода привлекался органами прокуратуры Ре</w:t>
      </w:r>
      <w:r>
        <w:rPr>
          <w:rStyle w:val="Style_2_ch"/>
          <w:rFonts w:ascii="Times New Roman" w:hAnsi="Times New Roman"/>
          <w:sz w:val="24"/>
        </w:rPr>
        <w:t>спублики Тыва для проверок исполнения законодательства Российской Федерации о пожарной безопасности в качестве специалистов 3 раза (АППГ - 4 раза).</w:t>
      </w:r>
    </w:p>
    <w:p w14:paraId="3D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Всего, при проведении внеплановых проверок выдано 24 предписания об устранении нарушений требований пожарной</w:t>
      </w:r>
      <w:r>
        <w:rPr>
          <w:rStyle w:val="Style_2_ch"/>
          <w:rFonts w:ascii="Times New Roman" w:hAnsi="Times New Roman"/>
          <w:sz w:val="24"/>
        </w:rPr>
        <w:t xml:space="preserve"> безопасности (АППГ - 29, -17,2%), выявлено 123 нарушения требований пожарной безопасности (АППГ - 29, + в 4,24 раза). Выявлено 23 правонарушения, связанных с неисполнением в срок предписаний органов государственного пожарного надзора (АППГ - 29, -20,7%). </w:t>
      </w:r>
    </w:p>
    <w:p w14:paraId="3E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Процент исполнения предписаний за 1 квартал 2021 года составил 70,05% от количества предложенных мероприятий (АППГ - 87,2%).</w:t>
      </w:r>
    </w:p>
    <w:p w14:paraId="3F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Всего, за отчетный период устранено нарушений требований пожарной безопасности, из ранее выявленных при проведении плановых и внеп</w:t>
      </w:r>
      <w:r>
        <w:rPr>
          <w:rStyle w:val="Style_2_ch"/>
          <w:rFonts w:ascii="Times New Roman" w:hAnsi="Times New Roman"/>
          <w:sz w:val="24"/>
        </w:rPr>
        <w:t>лановых проверок – 666 (АППГ - 273, + в 2,4 раза).</w:t>
      </w:r>
    </w:p>
    <w:p w14:paraId="40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 В течение 1 квартала текущего года должностные лица органов государственного пожарного надзора принимали участие в 23 судебных заседаниях, на которых рассматривались административные дела по фактам наруше</w:t>
      </w:r>
      <w:r>
        <w:rPr>
          <w:rStyle w:val="Style_2_ch"/>
          <w:rFonts w:ascii="Times New Roman" w:hAnsi="Times New Roman"/>
          <w:sz w:val="24"/>
        </w:rPr>
        <w:t>ний требований пожарной безопасности (АППГ - 30, -23,3%).</w:t>
      </w:r>
    </w:p>
    <w:p w14:paraId="41000000">
      <w:pPr>
        <w:widowControl w:val="0"/>
        <w:spacing w:after="0" w:line="240" w:lineRule="auto"/>
        <w:ind w:firstLine="709"/>
        <w:jc w:val="both"/>
        <w:rPr>
          <w:sz w:val="28"/>
        </w:rPr>
      </w:pPr>
      <w:r>
        <w:rPr>
          <w:rStyle w:val="Style_2_ch"/>
          <w:rFonts w:ascii="Times New Roman" w:hAnsi="Times New Roman"/>
          <w:sz w:val="24"/>
        </w:rPr>
        <w:t>Представления об устранении нарушений законодательства, связанных с осуществлением надзорных функций в 1 квартале 2021 года из органов прокуратуры Республики Тыва поступило 3 представления (АППГ - 0</w:t>
      </w:r>
      <w:r>
        <w:rPr>
          <w:rStyle w:val="Style_2_ch"/>
          <w:rFonts w:ascii="Times New Roman" w:hAnsi="Times New Roman"/>
          <w:sz w:val="24"/>
        </w:rPr>
        <w:t xml:space="preserve">).  К дисциплинарной ответственности привлечено 3 сотрудника (АППГ - 0). </w:t>
      </w:r>
    </w:p>
    <w:p w14:paraId="42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 соответствии с перечнем</w:t>
      </w:r>
      <w:r>
        <w:rPr>
          <w:rFonts w:ascii="Times New Roman" w:hAnsi="Times New Roman"/>
          <w:sz w:val="24"/>
        </w:rPr>
        <w:t xml:space="preserve"> профилактических мероприятий, осуществляемых для достижения целей и задач </w:t>
      </w:r>
      <w:r>
        <w:rPr>
          <w:rFonts w:ascii="Times New Roman" w:hAnsi="Times New Roman"/>
          <w:b w:val="1"/>
          <w:sz w:val="24"/>
        </w:rPr>
        <w:t>Программы профилактики нарушений обязательных требований</w:t>
      </w:r>
      <w:r>
        <w:rPr>
          <w:rFonts w:ascii="Times New Roman" w:hAnsi="Times New Roman"/>
          <w:sz w:val="24"/>
        </w:rPr>
        <w:t xml:space="preserve"> в области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 на водных объектах на территории Республики Тыва на 2021 год (далее - Программа профилактики) и</w:t>
      </w:r>
      <w:r>
        <w:rPr>
          <w:rFonts w:ascii="Times New Roman" w:hAnsi="Times New Roman"/>
          <w:sz w:val="24"/>
        </w:rPr>
        <w:t xml:space="preserve"> план-графиком проведения профилактических мероприятий Программы профилактики, структурными подразделениями ГУ в</w:t>
      </w:r>
      <w:r>
        <w:rPr>
          <w:rFonts w:ascii="Times New Roman" w:hAnsi="Times New Roman"/>
          <w:sz w:val="24"/>
        </w:rPr>
        <w:t xml:space="preserve"> 1 </w:t>
      </w:r>
      <w:r>
        <w:rPr>
          <w:rFonts w:ascii="Times New Roman" w:hAnsi="Times New Roman"/>
          <w:sz w:val="24"/>
        </w:rPr>
        <w:t>квартале</w:t>
      </w:r>
      <w:r>
        <w:rPr>
          <w:rFonts w:ascii="Times New Roman" w:hAnsi="Times New Roman"/>
          <w:sz w:val="24"/>
        </w:rPr>
        <w:t xml:space="preserve"> 2021 года проводились следующие </w:t>
      </w:r>
      <w:r>
        <w:rPr>
          <w:rFonts w:ascii="Times New Roman" w:hAnsi="Times New Roman"/>
          <w:b w:val="1"/>
          <w:sz w:val="24"/>
        </w:rPr>
        <w:t>профилактические мероприятия:</w:t>
      </w:r>
    </w:p>
    <w:p w14:paraId="43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 февраля 2021 года проведены публичные слушания </w:t>
      </w:r>
      <w:r>
        <w:rPr>
          <w:rFonts w:ascii="Times New Roman" w:hAnsi="Times New Roman"/>
          <w:sz w:val="24"/>
        </w:rPr>
        <w:t>результатов правоприменительной практики надзорных органов ГУ за 2020 год;</w:t>
      </w:r>
    </w:p>
    <w:p w14:paraId="44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организованы и проведены надзорно-профилактические операции «Новый год», «Отопление»;</w:t>
      </w:r>
    </w:p>
    <w:p w14:paraId="45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проведены внеплановые обследования объектов проведения праздников «Рождество Христово», «Крещен</w:t>
      </w:r>
      <w:r>
        <w:rPr>
          <w:rFonts w:ascii="Times New Roman" w:hAnsi="Times New Roman"/>
          <w:sz w:val="24"/>
        </w:rPr>
        <w:t>ие Христа», «</w:t>
      </w:r>
      <w:r>
        <w:rPr>
          <w:rFonts w:ascii="Times New Roman" w:hAnsi="Times New Roman"/>
          <w:sz w:val="24"/>
        </w:rPr>
        <w:t>Шагаа</w:t>
      </w:r>
      <w:r>
        <w:rPr>
          <w:rFonts w:ascii="Times New Roman" w:hAnsi="Times New Roman"/>
          <w:sz w:val="24"/>
        </w:rPr>
        <w:t>», «Масленница-2021» на предмет соблюдения требований пожарной безопасности;</w:t>
      </w:r>
    </w:p>
    <w:p w14:paraId="46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 марта 2021 года проведена плановая проверка Мэрии г. Кызыла по исполнению законодательства в области пожарной безопасности и гражданской обороны;</w:t>
      </w:r>
    </w:p>
    <w:p w14:paraId="47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инициировани</w:t>
      </w:r>
      <w:r>
        <w:rPr>
          <w:rFonts w:ascii="Times New Roman" w:hAnsi="Times New Roman"/>
          <w:sz w:val="24"/>
        </w:rPr>
        <w:t>е и проведение заседаний КЧС и ПБ на уровне республики и муниципальных образований с рассмотрением вопросов о сложившейся оперативной обстановки с пожарами и их последствиями, о принятии мер по предупреждению гибели и травмирования людей на пожарах, об ока</w:t>
      </w:r>
      <w:r>
        <w:rPr>
          <w:rFonts w:ascii="Times New Roman" w:hAnsi="Times New Roman"/>
          <w:sz w:val="24"/>
        </w:rPr>
        <w:t>зании адресной помощи отдельным категориям граждан и семьям с детьми в виде ремонта отопительных печей, неисправных участков электропроводки и установки автономных пожарных извещателей</w:t>
      </w:r>
      <w:r>
        <w:rPr>
          <w:rFonts w:ascii="Times New Roman" w:hAnsi="Times New Roman"/>
          <w:sz w:val="24"/>
        </w:rPr>
        <w:t xml:space="preserve"> в рамках реализации государственных и муниципальных программ или благот</w:t>
      </w:r>
      <w:r>
        <w:rPr>
          <w:rFonts w:ascii="Times New Roman" w:hAnsi="Times New Roman"/>
          <w:sz w:val="24"/>
        </w:rPr>
        <w:t xml:space="preserve">ворительной акции «Будильник спасения при пожаре он проснётся первым». </w:t>
      </w:r>
      <w:r>
        <w:rPr>
          <w:rFonts w:ascii="Times New Roman" w:hAnsi="Times New Roman"/>
          <w:sz w:val="24"/>
        </w:rPr>
        <w:t>В 1 квартале 2021 года инициировано и проведено 3 заседания КЧС и ПБ при Правительстве Республики Тыва и 31 заседание КЧС и ПБ муниципальных образований (АППГ - 6 заседаний КЧС и ПБ при</w:t>
      </w:r>
      <w:r>
        <w:rPr>
          <w:rFonts w:ascii="Times New Roman" w:hAnsi="Times New Roman"/>
          <w:sz w:val="24"/>
        </w:rPr>
        <w:t xml:space="preserve"> Правительстве Республики Тыва и 61 заседание КЧС и ПБ муниципальных образований);</w:t>
      </w:r>
    </w:p>
    <w:p w14:paraId="48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комиссиями по делам несовершеннолетних и защите их прав на уровне субъекта и муниципальных образований. На уровне субъекта проведено 4 заседания межведомств</w:t>
      </w:r>
      <w:r>
        <w:rPr>
          <w:rFonts w:ascii="Times New Roman" w:hAnsi="Times New Roman"/>
          <w:sz w:val="24"/>
        </w:rPr>
        <w:t>енной комиссии по делам несовершеннолетних и защите их прав Республики Тыва и 16 заседаний КДН и ЗП администраций районов и городских округов (АППГ - 1 заседание МКДН и ЗП при Правительстве Республики Тыва, – 17 заседаний КДН и ЗП муниципальных образований</w:t>
      </w:r>
      <w:r>
        <w:rPr>
          <w:rFonts w:ascii="Times New Roman" w:hAnsi="Times New Roman"/>
          <w:sz w:val="24"/>
        </w:rPr>
        <w:t>);</w:t>
      </w:r>
    </w:p>
    <w:p w14:paraId="49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проведение профилактических рейдовых мероприятий в жилом секторе муниципальных образований совместно с органами полиции, местного самоуправления, социальными службами защиты населения на предмет соблюдения требований пожарной безопасности в быту,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ск</w:t>
      </w:r>
      <w:r>
        <w:rPr>
          <w:rFonts w:ascii="Times New Roman" w:hAnsi="Times New Roman"/>
          <w:sz w:val="24"/>
        </w:rPr>
        <w:t>ладирования</w:t>
      </w:r>
      <w:r>
        <w:rPr>
          <w:rFonts w:ascii="Times New Roman" w:hAnsi="Times New Roman"/>
          <w:sz w:val="24"/>
        </w:rPr>
        <w:t xml:space="preserve"> и уборке горючего мусора, сухой растительности. В ходе совместных рейдовых мероприятий с гражданами проводились беседы и противопожарные инструктажи с вручением агитационных материалов (листовки, памятки, брошюры). </w:t>
      </w:r>
      <w:r>
        <w:rPr>
          <w:rFonts w:ascii="Times New Roman" w:hAnsi="Times New Roman"/>
          <w:sz w:val="24"/>
        </w:rPr>
        <w:t>В 1 квартале 2021 года провед</w:t>
      </w:r>
      <w:r>
        <w:rPr>
          <w:rFonts w:ascii="Times New Roman" w:hAnsi="Times New Roman"/>
          <w:sz w:val="24"/>
        </w:rPr>
        <w:t>ено 1629 совместных рейдов (АППГ - 1041, +56,5%) с охватом 15121 жилой жом (АППГ - 6570, + в 2,3 раза), проинструктировано 30556 человек (АППГ - 17606, + в 1,7 раза), из них инвалиды и пенсионеры - 1620 (АППГ - 1042, +55,4%), неблагополучные и малообеспече</w:t>
      </w:r>
      <w:r>
        <w:rPr>
          <w:rFonts w:ascii="Times New Roman" w:hAnsi="Times New Roman"/>
          <w:sz w:val="24"/>
        </w:rPr>
        <w:t>нные семьи - 1738 (АППГ -1379, + 26%), многодетные семьи - 1994 (АППГ - 1530, + 30,3%).</w:t>
      </w:r>
      <w:r>
        <w:rPr>
          <w:rFonts w:ascii="Times New Roman" w:hAnsi="Times New Roman"/>
          <w:sz w:val="24"/>
        </w:rPr>
        <w:t xml:space="preserve"> Вручено 18203 агитационного материала (АППГ - 10436, + в 1,7 раза);</w:t>
      </w:r>
    </w:p>
    <w:p w14:paraId="4A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адресной помощи гражданам и семьям с детьми отдельных категорий населения силами органов ме</w:t>
      </w:r>
      <w:r>
        <w:rPr>
          <w:rFonts w:ascii="Times New Roman" w:hAnsi="Times New Roman"/>
          <w:sz w:val="24"/>
        </w:rPr>
        <w:t>стного самоуправления или организаций: ремонт неисправных отопительных печей - 77 (АППГ - 0), ремонт неисправных участков электропроводки - 171 (АППГ - 4), установлено автономных пожарных извещателей - 88 (АППГ - 53);</w:t>
      </w:r>
    </w:p>
    <w:p w14:paraId="4B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организовано и проведено 49 массовых п</w:t>
      </w:r>
      <w:r>
        <w:rPr>
          <w:rFonts w:ascii="Times New Roman" w:hAnsi="Times New Roman"/>
          <w:sz w:val="24"/>
        </w:rPr>
        <w:t>рофилактических мероприятий (АППГ - 52) с охватом 1230 человек (АППГ - 601), из них: тематические конкурсы, викторины, смотры - 5 мероприятий (АППГ - 14) с охватом 272 человека (АППГ - 383); сходы граждан и встречи с населением - 18 мероприятий (АППГ - 60)</w:t>
      </w:r>
      <w:r>
        <w:rPr>
          <w:rFonts w:ascii="Times New Roman" w:hAnsi="Times New Roman"/>
          <w:sz w:val="24"/>
        </w:rPr>
        <w:t xml:space="preserve"> с охватом 103 человека (АППГ - 1812); дни безопасности и дни открытых дверей - 14 мероприятий (АППГ - 3) с охватом 694 человека (АППГ - 53); экскурсии, демонстрации пожарной техники - 12 мероприятий (АППГ - 9) с охватом 161 человек (АППГ - 239);</w:t>
      </w:r>
    </w:p>
    <w:p w14:paraId="4C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профилакт</w:t>
      </w:r>
      <w:r>
        <w:rPr>
          <w:rFonts w:ascii="Times New Roman" w:hAnsi="Times New Roman"/>
          <w:sz w:val="24"/>
        </w:rPr>
        <w:t xml:space="preserve">ические мероприятия с детьми в образовательных организациях республики. </w:t>
      </w:r>
      <w:r>
        <w:rPr>
          <w:rFonts w:ascii="Times New Roman" w:hAnsi="Times New Roman"/>
          <w:sz w:val="24"/>
        </w:rPr>
        <w:t>В 1 квартале 2021 года всего проведено 107 мероприятий с охватом 3497 детей (АППГ - 48 мероприятий с охватом 1173 ребёнка), из них: конкурсы, викторины - 1 мероприятие с охватом 26 дет</w:t>
      </w:r>
      <w:r>
        <w:rPr>
          <w:rFonts w:ascii="Times New Roman" w:hAnsi="Times New Roman"/>
          <w:sz w:val="24"/>
        </w:rPr>
        <w:t>ей (АППГ - 5 мероприятий с охватом 125 детей); учебно-познавательные занятия - 106 занятий с охватом 3471 ребёнок (АППГ - 31 мероприятие с охватом 756 детей);</w:t>
      </w:r>
    </w:p>
    <w:p w14:paraId="4D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практических отработок по эвакуации людей (детей) из зданий, регламентов взаимодействи</w:t>
      </w:r>
      <w:r>
        <w:rPr>
          <w:rFonts w:ascii="Times New Roman" w:hAnsi="Times New Roman"/>
          <w:sz w:val="24"/>
        </w:rPr>
        <w:t>я с персоналом на объектах социального значения. В 1 квартале 2021 года всего проведено 110 практических отработок с охватом 3864 человека (АППГ - 44 тренировки с охватом 3257 человек);</w:t>
      </w:r>
    </w:p>
    <w:p w14:paraId="4E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противопожарных лекций и инструктажей с персоналом объектов</w:t>
      </w:r>
      <w:r>
        <w:rPr>
          <w:rFonts w:ascii="Times New Roman" w:hAnsi="Times New Roman"/>
          <w:sz w:val="24"/>
        </w:rPr>
        <w:t xml:space="preserve"> социального значения. В 1 квартале 2021 года проведено 57 мероприятий (АППГ - 86) с охватом 1306 человек (АППГ - 2726);</w:t>
      </w:r>
    </w:p>
    <w:p w14:paraId="4F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населения в области пожарной безопасности через средства массовой информации, в том числе в сети Интернет: выступления н</w:t>
      </w:r>
      <w:r>
        <w:rPr>
          <w:rFonts w:ascii="Times New Roman" w:hAnsi="Times New Roman"/>
          <w:sz w:val="24"/>
        </w:rPr>
        <w:t xml:space="preserve">а ТВ - 46 (АППГ - 18, + в 2,55 раза), на </w:t>
      </w:r>
      <w:r>
        <w:rPr>
          <w:rFonts w:ascii="Times New Roman" w:hAnsi="Times New Roman"/>
          <w:sz w:val="24"/>
        </w:rPr>
        <w:t xml:space="preserve">радио - 65 (АППГ - 22, + в 2,95 раза), опубликовано в местных печатных изданиях - 50 (АППГ - 32, + 56,25%), размещено в сети Интернет (сайты, </w:t>
      </w:r>
      <w:r>
        <w:rPr>
          <w:rFonts w:ascii="Times New Roman" w:hAnsi="Times New Roman"/>
          <w:sz w:val="24"/>
        </w:rPr>
        <w:t>соцсети</w:t>
      </w:r>
      <w:r>
        <w:rPr>
          <w:rFonts w:ascii="Times New Roman" w:hAnsi="Times New Roman"/>
          <w:sz w:val="24"/>
        </w:rPr>
        <w:t>) - 644 (АППГ - 99, + в 6,5 раза).</w:t>
      </w:r>
    </w:p>
    <w:p w14:paraId="5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Государственный надзор в облас</w:t>
      </w:r>
      <w:r>
        <w:rPr>
          <w:rFonts w:ascii="Times New Roman" w:hAnsi="Times New Roman"/>
          <w:b w:val="1"/>
          <w:sz w:val="24"/>
        </w:rPr>
        <w:t>ти гражданской обороны, федеральный государственный надзор в области защиты населения и территорий от ЧС природного и техногенного характера</w:t>
      </w:r>
    </w:p>
    <w:p w14:paraId="52000000">
      <w:pPr>
        <w:spacing w:after="0" w:line="240" w:lineRule="auto"/>
        <w:ind w:firstLine="709" w:right="-2"/>
        <w:jc w:val="center"/>
        <w:rPr>
          <w:rFonts w:ascii="Times New Roman" w:hAnsi="Times New Roman"/>
          <w:b w:val="1"/>
          <w:sz w:val="24"/>
        </w:rPr>
      </w:pPr>
    </w:p>
    <w:p w14:paraId="53000000">
      <w:pPr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Надзорная деятельность.</w:t>
      </w:r>
    </w:p>
    <w:p w14:paraId="54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На территории Республики Тыва взято на учет 206 объектов надзора в области гражданской обо</w:t>
      </w:r>
      <w:r>
        <w:rPr>
          <w:rStyle w:val="Style_2_ch"/>
          <w:rFonts w:ascii="Times New Roman" w:hAnsi="Times New Roman"/>
          <w:sz w:val="24"/>
        </w:rPr>
        <w:t>роны (АППГ - 100, + в 2,06 раза) и 304 объекта надзора в области защиты населения и территорий от ЧС природного и техногенного характера (АППГ - 49, + в 6,2 раза).</w:t>
      </w:r>
    </w:p>
    <w:p w14:paraId="55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В 1 квартале 2021 года мероприятия по контролю проводились в соответствии с утвержденным пла</w:t>
      </w:r>
      <w:r>
        <w:rPr>
          <w:rStyle w:val="Style_2_ch"/>
          <w:rFonts w:ascii="Times New Roman" w:hAnsi="Times New Roman"/>
          <w:sz w:val="24"/>
        </w:rPr>
        <w:t xml:space="preserve">ном плановых проверок юридических лиц и индивидуальных предпринимателей на 2021 год, а также планом </w:t>
      </w:r>
      <w:r>
        <w:rPr>
          <w:rStyle w:val="Style_2_ch"/>
          <w:rFonts w:ascii="Times New Roman" w:hAnsi="Times New Roman"/>
          <w:sz w:val="24"/>
        </w:rPr>
        <w:t>проведения проверок деятельности органов местного самоуправления</w:t>
      </w:r>
      <w:r>
        <w:rPr>
          <w:rStyle w:val="Style_2_ch"/>
          <w:rFonts w:ascii="Times New Roman" w:hAnsi="Times New Roman"/>
          <w:sz w:val="24"/>
        </w:rPr>
        <w:t xml:space="preserve"> и должностных лиц местного самоуправления на 2021 год. </w:t>
      </w:r>
    </w:p>
    <w:p w14:paraId="56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В области гражданской обороны прове</w:t>
      </w:r>
      <w:r>
        <w:rPr>
          <w:rStyle w:val="Style_2_ch"/>
          <w:rFonts w:ascii="Times New Roman" w:hAnsi="Times New Roman"/>
          <w:sz w:val="24"/>
        </w:rPr>
        <w:t>рки проводятся в отношении организаций, отнесенных к категориям по гражданской обороне, эксплуатирующих потенциально опасные объекты и организаций эксплуатирующих критически важные объекты, а также в отношении органов местного самоуправления, а в области Ч</w:t>
      </w:r>
      <w:r>
        <w:rPr>
          <w:rStyle w:val="Style_2_ch"/>
          <w:rFonts w:ascii="Times New Roman" w:hAnsi="Times New Roman"/>
          <w:sz w:val="24"/>
        </w:rPr>
        <w:t>С проверки проводятся в отношении юридических лиц, входящих в состав функциональных подсистем РСЧС, и организаций, в ведении которых находятся потенциально опасные объекты, а также критически</w:t>
      </w:r>
      <w:r>
        <w:rPr>
          <w:rStyle w:val="Style_2_ch"/>
          <w:rFonts w:ascii="Times New Roman" w:hAnsi="Times New Roman"/>
          <w:sz w:val="24"/>
        </w:rPr>
        <w:t xml:space="preserve"> важные объекты.</w:t>
      </w:r>
    </w:p>
    <w:p w14:paraId="57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За 1 квартал 2021 года в области ГО запланировано</w:t>
      </w:r>
      <w:r>
        <w:rPr>
          <w:rStyle w:val="Style_2_ch"/>
          <w:rFonts w:ascii="Times New Roman" w:hAnsi="Times New Roman"/>
          <w:sz w:val="24"/>
        </w:rPr>
        <w:t xml:space="preserve"> проведение 4-х плановых мероприятий по надзору, а в области защиты населения и территорий от ЧС – 2-х плановой проверки. </w:t>
      </w:r>
    </w:p>
    <w:p w14:paraId="58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Соответственно проведено 6 плановых проверок (АППГ - 5, + 20%). По согласованию с органами прокуратуры внеплановые проверки не провод</w:t>
      </w:r>
      <w:r>
        <w:rPr>
          <w:rStyle w:val="Style_2_ch"/>
          <w:rFonts w:ascii="Times New Roman" w:hAnsi="Times New Roman"/>
          <w:sz w:val="24"/>
        </w:rPr>
        <w:t>ились.</w:t>
      </w:r>
    </w:p>
    <w:p w14:paraId="59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По результатам проведенных проверок всего выявлено 48 нарушений (АППГ – 30, +60%) увеличение на 37,5%, выдано для исполнения 4 предписания об устранении нарушений в области ГО и ЧС (АППГ – 2, + в 2 раза).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B000000">
      <w:pPr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Style w:val="Style_2_ch"/>
          <w:rFonts w:ascii="Times New Roman" w:hAnsi="Times New Roman"/>
          <w:b w:val="1"/>
          <w:sz w:val="24"/>
          <w:u w:val="single"/>
        </w:rPr>
        <w:t>Административная практика в области ГО и ЧС</w:t>
      </w:r>
      <w:r>
        <w:rPr>
          <w:rStyle w:val="Style_2_ch"/>
          <w:rFonts w:ascii="Times New Roman" w:hAnsi="Times New Roman"/>
          <w:b w:val="1"/>
          <w:sz w:val="24"/>
          <w:u w:val="single"/>
        </w:rPr>
        <w:t>.</w:t>
      </w:r>
    </w:p>
    <w:p w14:paraId="5C000000">
      <w:pPr>
        <w:tabs>
          <w:tab w:leader="none" w:pos="993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В 1 квартале 2021 года по выявленным правонарушениям в области гражданской обороны, защиты населения и территорий должностными лицами органов государственного надзора в области ГО и ЧС составлено и направлено в суды для принятия решений по ч. 1 ст. 20.7 </w:t>
      </w:r>
      <w:r>
        <w:rPr>
          <w:rStyle w:val="Style_2_ch"/>
          <w:rFonts w:ascii="Times New Roman" w:hAnsi="Times New Roman"/>
          <w:sz w:val="24"/>
        </w:rPr>
        <w:t>КоАП РФ – 3 административных протокола на юридических и должностного лица, по ч. 1 ст. 20.6 КоАП РФ – 1 административный протокол на</w:t>
      </w:r>
      <w:r>
        <w:rPr>
          <w:rStyle w:val="Style_2_ch"/>
          <w:rFonts w:ascii="Times New Roman" w:hAnsi="Times New Roman"/>
          <w:sz w:val="24"/>
        </w:rPr>
        <w:t xml:space="preserve"> юридическое лицо.</w:t>
      </w:r>
    </w:p>
    <w:p w14:paraId="5D000000">
      <w:pPr>
        <w:tabs>
          <w:tab w:leader="none" w:pos="993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По выявленным фактам неисполнения предписаний надзорных органов по ч. 1 ст. 19.5 КоАП РФ «Невыполнение в </w:t>
      </w:r>
      <w:r>
        <w:rPr>
          <w:rStyle w:val="Style_2_ch"/>
          <w:rFonts w:ascii="Times New Roman" w:hAnsi="Times New Roman"/>
          <w:sz w:val="24"/>
        </w:rPr>
        <w:t>срок законного предписания (постановления, представления) органа (должностного лица), осуществляющего государственный надзор (контроль)» протокола не составлялись.</w:t>
      </w:r>
    </w:p>
    <w:p w14:paraId="5E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Судебными органами принято - 1 решение в виде наложения штрафа на должностного лица на сумму</w:t>
      </w:r>
      <w:r>
        <w:rPr>
          <w:rStyle w:val="Style_2_ch"/>
          <w:rFonts w:ascii="Times New Roman" w:hAnsi="Times New Roman"/>
          <w:sz w:val="24"/>
        </w:rPr>
        <w:t xml:space="preserve"> 5000 рублей.</w:t>
      </w:r>
    </w:p>
    <w:p w14:paraId="5F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Проверки территориальных подразделений по организации и осуществлению государственного надзора в области ГО, ЗНТЧС в первом квартале 2021 года не проводились. </w:t>
      </w:r>
    </w:p>
    <w:p w14:paraId="60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Распоряжением заместителя начальника Главного управления МЧС России по Республики </w:t>
      </w:r>
      <w:r>
        <w:rPr>
          <w:rFonts w:ascii="Times New Roman" w:hAnsi="Times New Roman"/>
          <w:sz w:val="24"/>
        </w:rPr>
        <w:t>Тыва от 25.12.2019 № 329-5-2-8 утверждены перечни юридических лиц и индивидуальных предпринимателей, подлежащие плановым проверкам в области гражданской обороны, защиты населения и территорий от чрезвычайных ситуаций природного и техногенного характера, от</w:t>
      </w:r>
      <w:r>
        <w:rPr>
          <w:rFonts w:ascii="Times New Roman" w:hAnsi="Times New Roman"/>
          <w:sz w:val="24"/>
        </w:rPr>
        <w:t>несенных к соответствующим категориям риска.</w:t>
      </w:r>
    </w:p>
    <w:p w14:paraId="61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указанным распоряжением в области гражданской обороны к высокому риску отнесено 11 объектов надзора, к значительному - 0, к среднему - 20 и низкому - 69 объектов.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области защиты населения и те</w:t>
      </w:r>
      <w:r>
        <w:rPr>
          <w:rFonts w:ascii="Times New Roman" w:hAnsi="Times New Roman"/>
          <w:sz w:val="24"/>
        </w:rPr>
        <w:t>рриторий от чрезвычайных ситуаций природного и техногенного характера к высокому риску отнесено 11 объектов надзора, к значительному – 38 объектов.</w:t>
      </w:r>
    </w:p>
    <w:p w14:paraId="62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вопросам надзорной деятельности </w:t>
      </w:r>
      <w:r>
        <w:rPr>
          <w:rFonts w:ascii="Times New Roman" w:hAnsi="Times New Roman"/>
          <w:b w:val="1"/>
          <w:i w:val="1"/>
          <w:sz w:val="24"/>
        </w:rPr>
        <w:t>в области гражданской обороны</w:t>
      </w:r>
      <w:r>
        <w:rPr>
          <w:rFonts w:ascii="Times New Roman" w:hAnsi="Times New Roman"/>
          <w:sz w:val="24"/>
        </w:rPr>
        <w:t xml:space="preserve"> проведено 2 проверки (АППГ - 6, - 30%), из них:</w:t>
      </w:r>
    </w:p>
    <w:p w14:paraId="63000000">
      <w:pPr>
        <w:spacing w:after="0" w:line="240" w:lineRule="auto"/>
        <w:ind w:firstLine="426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плановых</w:t>
      </w:r>
      <w:r>
        <w:rPr>
          <w:rFonts w:ascii="Times New Roman" w:hAnsi="Times New Roman"/>
          <w:sz w:val="24"/>
        </w:rPr>
        <w:t xml:space="preserve"> – 1 (АППГ – 6, - в 6 раз), что составляет 100 % от запланированного;</w:t>
      </w:r>
    </w:p>
    <w:p w14:paraId="64000000">
      <w:pPr>
        <w:spacing w:after="0" w:line="240" w:lineRule="auto"/>
        <w:ind w:firstLine="426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внеплановая проверка – 1(АППГ – 0).</w:t>
      </w:r>
    </w:p>
    <w:p w14:paraId="65000000">
      <w:pPr>
        <w:spacing w:after="0" w:line="240" w:lineRule="auto"/>
        <w:ind w:firstLine="708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>
        <w:rPr>
          <w:rFonts w:ascii="Times New Roman" w:hAnsi="Times New Roman"/>
          <w:sz w:val="24"/>
        </w:rPr>
        <w:t>проведения проверок нарушения требований законодательства РФ</w:t>
      </w:r>
      <w:r>
        <w:rPr>
          <w:rFonts w:ascii="Times New Roman" w:hAnsi="Times New Roman"/>
          <w:sz w:val="24"/>
        </w:rPr>
        <w:t xml:space="preserve"> не выявлялись (АППГ – 17)</w:t>
      </w:r>
      <w:r>
        <w:rPr>
          <w:rFonts w:ascii="Times New Roman" w:hAnsi="Times New Roman"/>
          <w:sz w:val="24"/>
        </w:rPr>
        <w:t>. Процент выполнения предписаний составил 100 %. Предписания об устранении нарушений установленных требований не выдавались (АППГ – 2).</w:t>
      </w:r>
    </w:p>
    <w:p w14:paraId="66000000">
      <w:pPr>
        <w:spacing w:after="0" w:line="240" w:lineRule="auto"/>
        <w:ind w:firstLine="708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административной ответственности должностные (АППГ – 2) и юридические лица (АППГ – 0) не привлекались. Сумма </w:t>
      </w:r>
      <w:r>
        <w:rPr>
          <w:rFonts w:ascii="Times New Roman" w:hAnsi="Times New Roman"/>
          <w:sz w:val="24"/>
        </w:rPr>
        <w:t>административных штрафов составила 0 рублей (АППГ – 10 тыс. рублей).</w:t>
      </w:r>
    </w:p>
    <w:p w14:paraId="67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 области защиты населения и территорий от ЧС</w:t>
      </w:r>
      <w:r>
        <w:rPr>
          <w:rFonts w:ascii="Times New Roman" w:hAnsi="Times New Roman"/>
          <w:sz w:val="24"/>
        </w:rPr>
        <w:t xml:space="preserve"> проведено 3 проверки (АППГ – 3):</w:t>
      </w:r>
    </w:p>
    <w:p w14:paraId="68000000">
      <w:pPr>
        <w:spacing w:after="0" w:line="240" w:lineRule="auto"/>
        <w:ind w:firstLine="426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из них плановых 3 (АППГ – 3), что составляет 100%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запланированных.</w:t>
      </w:r>
    </w:p>
    <w:p w14:paraId="69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Внеплановые проверки не проводились (</w:t>
      </w:r>
      <w:r>
        <w:rPr>
          <w:rFonts w:ascii="Times New Roman" w:hAnsi="Times New Roman"/>
          <w:sz w:val="24"/>
        </w:rPr>
        <w:t>АППГ – 0).</w:t>
      </w:r>
    </w:p>
    <w:p w14:paraId="6A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>
        <w:rPr>
          <w:rFonts w:ascii="Times New Roman" w:hAnsi="Times New Roman"/>
          <w:sz w:val="24"/>
        </w:rPr>
        <w:t>проведения проверок нарушения требований законодательства РФ</w:t>
      </w:r>
      <w:r>
        <w:rPr>
          <w:rFonts w:ascii="Times New Roman" w:hAnsi="Times New Roman"/>
          <w:sz w:val="24"/>
        </w:rPr>
        <w:t xml:space="preserve"> не выявлялись (АППГ – 24). Предписания об устранении нарушений установленных требований в области защиты населения и территорий от ЧС не выдавались (АППГ – 1).</w:t>
      </w:r>
    </w:p>
    <w:p w14:paraId="6B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</w:t>
      </w:r>
      <w:r>
        <w:rPr>
          <w:rFonts w:ascii="Times New Roman" w:hAnsi="Times New Roman"/>
          <w:sz w:val="24"/>
        </w:rPr>
        <w:t>й ответственности должностные (АППГ – 1) и юридические лица (АППГ – 0) не привлекались. Сумма административного штрафа составила 0 рублей (АППГ – 10 тыс. рублей).</w:t>
      </w:r>
    </w:p>
    <w:p w14:paraId="6C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</w:p>
    <w:p w14:paraId="6D000000">
      <w:pPr>
        <w:spacing w:after="0" w:line="240" w:lineRule="auto"/>
        <w:ind w:firstLine="709" w:right="-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highlight w:val="white"/>
        </w:rPr>
        <w:t>Л</w:t>
      </w:r>
      <w:r>
        <w:rPr>
          <w:rFonts w:ascii="Times New Roman" w:hAnsi="Times New Roman"/>
          <w:b w:val="1"/>
          <w:sz w:val="24"/>
        </w:rPr>
        <w:t>ицензионный контроль при осуществлении деятельности по монтажу, техническому обслуживанию и</w:t>
      </w:r>
      <w:r>
        <w:rPr>
          <w:rFonts w:ascii="Times New Roman" w:hAnsi="Times New Roman"/>
          <w:b w:val="1"/>
          <w:sz w:val="24"/>
        </w:rPr>
        <w:t xml:space="preserve"> ремонту средств обеспечения пожарной безопасности зданий и сооружений и деятельности по тушению пожаров в населенных пунктах, на производственных объектах и объектах инфраструктуры</w:t>
      </w:r>
    </w:p>
    <w:p w14:paraId="6E000000">
      <w:pPr>
        <w:spacing w:after="0" w:line="240" w:lineRule="auto"/>
        <w:ind w:firstLine="709" w:right="-2"/>
        <w:jc w:val="center"/>
        <w:rPr>
          <w:rFonts w:ascii="Times New Roman" w:hAnsi="Times New Roman"/>
          <w:b w:val="1"/>
          <w:sz w:val="24"/>
        </w:rPr>
      </w:pPr>
    </w:p>
    <w:p w14:paraId="6F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государственного контроля является проверка соответствия лиценз</w:t>
      </w:r>
      <w:r>
        <w:rPr>
          <w:rFonts w:ascii="Times New Roman" w:hAnsi="Times New Roman"/>
          <w:sz w:val="24"/>
        </w:rPr>
        <w:t>иата лицензионным требованиям, сведений о деятельности лицензиата, содержащихся в его документах, состояния используемых при осуществлении лицензируемого вида деятельности технических средств, оборудования, соответствия работников лицензиата лицензионным т</w:t>
      </w:r>
      <w:r>
        <w:rPr>
          <w:rFonts w:ascii="Times New Roman" w:hAnsi="Times New Roman"/>
          <w:sz w:val="24"/>
        </w:rPr>
        <w:t>ребованиям, качества выполняемых работ, оказываемых услуг, принимаемые лицензиатом меры по соблюдению лицензионных требований, исполнению предписаний об устранении выявленных нарушений лицензионных требований.</w:t>
      </w:r>
    </w:p>
    <w:p w14:paraId="7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обнаружении в ходе проведения проверки лиц</w:t>
      </w:r>
      <w:r>
        <w:rPr>
          <w:rFonts w:ascii="Times New Roman" w:hAnsi="Times New Roman"/>
          <w:sz w:val="24"/>
        </w:rPr>
        <w:t>ензиатов нарушений лицензионных требований, в отношении лицензиата могут быть приняты меры административного воздействия в виде приостановления действия лицензии и аннулирования лицензии на осуществление деятельности в области пожарной безопасности.</w:t>
      </w:r>
    </w:p>
    <w:p w14:paraId="71000000">
      <w:pPr>
        <w:spacing w:after="0" w:line="240" w:lineRule="auto"/>
        <w:ind w:firstLine="708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1 к</w:t>
      </w:r>
      <w:r>
        <w:rPr>
          <w:rFonts w:ascii="Times New Roman" w:hAnsi="Times New Roman"/>
          <w:sz w:val="24"/>
        </w:rPr>
        <w:t>вартал 2021 года, согласно ежегодному плану проведения плановых проверок и в целях осуществления лицензионного контроля, за соблюдением лицензиатами лицензионных требований плановые проверки проводились в отношении 4 юридических лиц (АППГ - 1, + в 4 раза).</w:t>
      </w:r>
      <w:r>
        <w:rPr>
          <w:rFonts w:ascii="Times New Roman" w:hAnsi="Times New Roman"/>
          <w:sz w:val="24"/>
        </w:rPr>
        <w:t xml:space="preserve"> </w:t>
      </w:r>
    </w:p>
    <w:p w14:paraId="72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Лицензирование деятельности в области пожарной безопасности осуществляется применительно к видам деятельности, установленным </w:t>
      </w:r>
      <w:r>
        <w:rPr>
          <w:rFonts w:ascii="Times New Roman" w:hAnsi="Times New Roman"/>
          <w:sz w:val="24"/>
        </w:rPr>
        <w:t>п.п</w:t>
      </w:r>
      <w:r>
        <w:rPr>
          <w:rFonts w:ascii="Times New Roman" w:hAnsi="Times New Roman"/>
          <w:sz w:val="24"/>
        </w:rPr>
        <w:t>. 14 и 15 ч.1 ст. 12 Федерального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"https://rulaws.ru/laws/Federalnyy-zakon-ot-04.05.2011-N-99-FZ/"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закона от 4.05.201</w:t>
      </w:r>
      <w:r>
        <w:rPr>
          <w:rFonts w:ascii="Times New Roman" w:hAnsi="Times New Roman"/>
          <w:sz w:val="24"/>
        </w:rPr>
        <w:t>1 № 99-ФЗ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"О лицензировании отдельных видов деятельности":</w:t>
      </w:r>
    </w:p>
    <w:p w14:paraId="73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деятельность по тушению пожаров в населенных пунктах, на производственных объектах и объектах инфраструктуры - 1 вид деятельности;</w:t>
      </w:r>
    </w:p>
    <w:p w14:paraId="74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деятельность по монтажу, техническому обслуживанию и ремонт</w:t>
      </w:r>
      <w:r>
        <w:rPr>
          <w:rFonts w:ascii="Times New Roman" w:hAnsi="Times New Roman"/>
          <w:sz w:val="24"/>
        </w:rPr>
        <w:t>у средств обеспечения пожарной безопасности зданий и сооружений - 2 вид деятельности.</w:t>
      </w:r>
    </w:p>
    <w:p w14:paraId="75000000">
      <w:pPr>
        <w:spacing w:after="0" w:line="240" w:lineRule="auto"/>
        <w:ind w:firstLine="708"/>
        <w:contextualSpacing w:val="1"/>
        <w:jc w:val="both"/>
      </w:pPr>
      <w:r>
        <w:rPr>
          <w:rFonts w:ascii="Times New Roman" w:hAnsi="Times New Roman"/>
          <w:sz w:val="24"/>
        </w:rPr>
        <w:t>За 1 квартал 2021 года в ГУ поступило 2 заявления (АППГ - 2) (в том числе по 2 виду – 2 (АППГ - 2), из них в электронном виде 1 (АППГ - 0).</w:t>
      </w:r>
      <w:r>
        <w:rPr>
          <w:rFonts w:ascii="Times New Roman" w:hAnsi="Times New Roman"/>
          <w:sz w:val="24"/>
        </w:rPr>
        <w:t xml:space="preserve"> По результатам рассмотрения до</w:t>
      </w:r>
      <w:r>
        <w:rPr>
          <w:rFonts w:ascii="Times New Roman" w:hAnsi="Times New Roman"/>
          <w:sz w:val="24"/>
        </w:rPr>
        <w:t>кументов выдано 2 - уведомлений о необходимости устранения выявленных нарушений (АППГ - 0). По 1 виду деятельности лицензии не выдавались (АППГ- 0).</w:t>
      </w:r>
    </w:p>
    <w:p w14:paraId="7600000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>По состоянию на 01.04.2021 г. на территории Республики Тыва зарегистрировано 33</w:t>
      </w:r>
      <w:r>
        <w:rPr>
          <w:rFonts w:ascii="Times New Roman" w:hAnsi="Times New Roman"/>
          <w:sz w:val="24"/>
        </w:rPr>
        <w:t xml:space="preserve"> юридических лиц и индивидуальных предпринимателей, имеющих лицензии МЧС России на осуществление деятельности в области пожарной безопасности (АППГ - 32, +3%). Из них 2 - по 1 виду деятельности (АППГ - 2) и 31 - по 2 виду деятельности (АППГ - 30, +3,3%).</w:t>
      </w:r>
    </w:p>
    <w:p w14:paraId="77000000">
      <w:pPr>
        <w:spacing w:after="0" w:line="240" w:lineRule="auto"/>
        <w:ind w:firstLine="708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рамках реализации положений Федерального закона от 27.07.2010 № 210-ФЗ «Об организации предоставления государственных и муниципальных услуг» при предоставлении государственной услуги по лицензированию деятельности в области пожарной безопасности Главное у</w:t>
      </w:r>
      <w:r>
        <w:rPr>
          <w:rFonts w:ascii="Times New Roman" w:hAnsi="Times New Roman"/>
          <w:sz w:val="24"/>
        </w:rPr>
        <w:t>правление осуществляет межведомственное электронное взаимодействие (по СМЭВ), заключающееся в обмене документами и информацией с Федеральной налоговой службой России (далее - ФНС России) и Федеральным казначейством.</w:t>
      </w:r>
    </w:p>
    <w:p w14:paraId="78000000">
      <w:pPr>
        <w:spacing w:after="0" w:line="240" w:lineRule="auto"/>
        <w:ind w:firstLine="708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проверки полноты и достоверности</w:t>
      </w:r>
      <w:r>
        <w:rPr>
          <w:rFonts w:ascii="Times New Roman" w:hAnsi="Times New Roman"/>
          <w:sz w:val="24"/>
        </w:rPr>
        <w:t xml:space="preserve"> сведений, представленных соискателем лицензии или лицензиатом, запросы автоматически формируются и направляются в федеральные органы исполнительной власти в день поступления заявления от соискателя лицензии (лицензиата):</w:t>
      </w:r>
    </w:p>
    <w:p w14:paraId="79000000">
      <w:pPr>
        <w:spacing w:after="0" w:line="240" w:lineRule="auto"/>
        <w:ind w:firstLine="426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ФНС России - для получения сведе</w:t>
      </w:r>
      <w:r>
        <w:rPr>
          <w:rFonts w:ascii="Times New Roman" w:hAnsi="Times New Roman"/>
          <w:sz w:val="24"/>
        </w:rPr>
        <w:t>ний из ЕГРЮЛ (ЕГРИП);</w:t>
      </w:r>
    </w:p>
    <w:p w14:paraId="7A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Федеральное казначейство – для получения сведений об уплате государственной пошлины.</w:t>
      </w:r>
    </w:p>
    <w:p w14:paraId="7B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местах предоставления государственных услуг ГУ на информационных стендах размещена информация о возможности получения государственной услуги в эл</w:t>
      </w:r>
      <w:r>
        <w:rPr>
          <w:rFonts w:ascii="Times New Roman" w:hAnsi="Times New Roman"/>
          <w:sz w:val="24"/>
        </w:rPr>
        <w:t>ектронной форме на едином портале государственных и муниципальных услуг, в том числе информация размещена на официальном сайте ГУ.</w:t>
      </w:r>
    </w:p>
    <w:p w14:paraId="7C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подразделениях ГУ, осуществляющих государственные услуги на информационных стендах, в том числе на официаль</w:t>
      </w:r>
      <w:r>
        <w:rPr>
          <w:rFonts w:ascii="Times New Roman" w:hAnsi="Times New Roman"/>
          <w:sz w:val="24"/>
        </w:rPr>
        <w:t>ном сайте ГУ размещены:</w:t>
      </w:r>
    </w:p>
    <w:p w14:paraId="7D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пошаговые инструкции предоставления государственной услуги в электронной форме;</w:t>
      </w:r>
    </w:p>
    <w:p w14:paraId="7E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документах, необходимых для получения  государственной услуги в электронной форме;</w:t>
      </w:r>
    </w:p>
    <w:p w14:paraId="7F000000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шаблоны заявлений для предоставления государственной усл</w:t>
      </w:r>
      <w:r>
        <w:rPr>
          <w:rFonts w:ascii="Times New Roman" w:hAnsi="Times New Roman"/>
          <w:sz w:val="24"/>
        </w:rPr>
        <w:t>уги, в том числе в электронной форме.</w:t>
      </w:r>
    </w:p>
    <w:p w14:paraId="80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предоставления государственных услуг в ГУ организована работа по рассмотрению обращений.</w:t>
      </w:r>
    </w:p>
    <w:p w14:paraId="81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За 1 квартал 2021 года при личном обращении проведено 5 консультаций соискателей лицензии (АППГ - 4, +25%), посредством </w:t>
      </w:r>
      <w:r>
        <w:rPr>
          <w:rFonts w:ascii="Times New Roman" w:hAnsi="Times New Roman"/>
          <w:sz w:val="24"/>
        </w:rPr>
        <w:t>телефонной связи оказано более 3 консультаций (АППГ - 4, -25%).</w:t>
      </w:r>
    </w:p>
    <w:p w14:paraId="82000000">
      <w:pPr>
        <w:spacing w:after="0" w:line="240" w:lineRule="auto"/>
        <w:ind w:firstLine="708"/>
      </w:pPr>
      <w:r>
        <w:rPr>
          <w:rFonts w:ascii="Times New Roman" w:hAnsi="Times New Roman"/>
          <w:sz w:val="24"/>
        </w:rPr>
        <w:t>Всего на конец отчетного периода общее количество действующих лицензий составило 2 – по 1 виду, 31 – по 2 виду (АППГ 1 вид – 2, 2 вид – 30):</w:t>
      </w:r>
    </w:p>
    <w:p w14:paraId="83000000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прежнем уровне - по 1 виду; </w:t>
      </w:r>
    </w:p>
    <w:p w14:paraId="84000000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на 10,0%</w:t>
      </w:r>
      <w:r>
        <w:rPr>
          <w:rFonts w:ascii="Times New Roman" w:hAnsi="Times New Roman"/>
          <w:sz w:val="24"/>
        </w:rPr>
        <w:t xml:space="preserve"> - по 2 виду.</w:t>
      </w:r>
    </w:p>
    <w:p w14:paraId="85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За 1 квартал 2021 года общее количество заявлений, поступивших и рассмотренных в лицензирующие органы, составило 2, из которых 2 заявление – лицензирование 2 вида деятельности (АППГ всего – 2, 1 вид – 0, 2 вид – 1):</w:t>
      </w:r>
    </w:p>
    <w:p w14:paraId="8600000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</w:rPr>
        <w:t>увеличение на 50% по общем</w:t>
      </w:r>
      <w:r>
        <w:rPr>
          <w:rFonts w:ascii="Times New Roman" w:hAnsi="Times New Roman"/>
          <w:sz w:val="24"/>
        </w:rPr>
        <w:t xml:space="preserve">у числу заявлений; </w:t>
      </w:r>
    </w:p>
    <w:p w14:paraId="8700000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</w:rPr>
        <w:t>на прежнем уровне по 1 виду;</w:t>
      </w:r>
    </w:p>
    <w:p w14:paraId="8800000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</w:rPr>
        <w:t>увеличение на 50% по 2 виду.</w:t>
      </w:r>
    </w:p>
    <w:p w14:paraId="89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Отклонение значений указанных количественных показателей объясняется изменением законодательной, нормативной правовой и нормативной базы, обеспечивающей организацию и </w:t>
      </w:r>
      <w:r>
        <w:rPr>
          <w:rFonts w:ascii="Times New Roman" w:hAnsi="Times New Roman"/>
          <w:sz w:val="24"/>
        </w:rPr>
        <w:t>осуществление лицензирования деятельности в области пожарной безопасности как метода государственного регулирования.</w:t>
      </w:r>
    </w:p>
    <w:p w14:paraId="8A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Доли заявлений, полученных лицензирующим органом, составили:</w:t>
      </w:r>
    </w:p>
    <w:p w14:paraId="8B00000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</w:rPr>
        <w:t>в электронной форме – 50 % от общего числа рассмотренных заявлений (через Един</w:t>
      </w:r>
      <w:r>
        <w:rPr>
          <w:rFonts w:ascii="Times New Roman" w:hAnsi="Times New Roman"/>
          <w:sz w:val="24"/>
        </w:rPr>
        <w:t>ый портал государственных услуг);</w:t>
      </w:r>
    </w:p>
    <w:p w14:paraId="8C00000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</w:rPr>
        <w:t>на бумажном носителе – 50 % от общего числа рассмотренных заявлений.</w:t>
      </w:r>
    </w:p>
    <w:p w14:paraId="8D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За 1 квартал 2021 года решений по отказу в предоставлении (переоформлении) лицензии МЧС России не принимались (АППГ - 0).</w:t>
      </w:r>
    </w:p>
    <w:p w14:paraId="8E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Типовые нарушения</w:t>
      </w:r>
      <w:r>
        <w:rPr>
          <w:rFonts w:ascii="Times New Roman" w:hAnsi="Times New Roman"/>
          <w:sz w:val="24"/>
        </w:rPr>
        <w:t>, выявленные в</w:t>
      </w:r>
      <w:r>
        <w:rPr>
          <w:rFonts w:ascii="Times New Roman" w:hAnsi="Times New Roman"/>
          <w:sz w:val="24"/>
        </w:rPr>
        <w:t xml:space="preserve"> результате лицензионного контроля:</w:t>
      </w:r>
    </w:p>
    <w:p w14:paraId="8F000000">
      <w:pPr>
        <w:numPr>
          <w:ilvl w:val="0"/>
          <w:numId w:val="12"/>
        </w:numPr>
        <w:spacing w:after="0" w:line="240" w:lineRule="auto"/>
        <w:ind w:firstLine="426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штате у лицензиата работников, имеющих профессиональное техническое образование (профессиональную подготовку), соответствующее выполнению работ и оказанию услуг в области лицензируемой деятельности;</w:t>
      </w:r>
      <w:r>
        <w:rPr>
          <w:rFonts w:ascii="Times New Roman" w:hAnsi="Times New Roman"/>
          <w:sz w:val="24"/>
        </w:rPr>
        <w:tab/>
      </w:r>
    </w:p>
    <w:p w14:paraId="90000000">
      <w:pPr>
        <w:numPr>
          <w:ilvl w:val="0"/>
          <w:numId w:val="12"/>
        </w:numPr>
        <w:spacing w:after="0" w:line="240" w:lineRule="auto"/>
        <w:ind w:firstLine="426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</w:t>
      </w:r>
      <w:r>
        <w:rPr>
          <w:rFonts w:ascii="Times New Roman" w:hAnsi="Times New Roman"/>
          <w:sz w:val="24"/>
        </w:rPr>
        <w:t>вие повышения квалификации лиц, в области лицензируемой деятельности которое необходимо проходить не реже 1 раза в 5 лет.</w:t>
      </w:r>
    </w:p>
    <w:p w14:paraId="91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</w:t>
      </w:r>
      <w:r>
        <w:rPr>
          <w:rFonts w:ascii="Times New Roman" w:hAnsi="Times New Roman"/>
          <w:sz w:val="24"/>
        </w:rPr>
        <w:t>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на территории Р</w:t>
      </w:r>
      <w:r>
        <w:rPr>
          <w:rFonts w:ascii="Times New Roman" w:hAnsi="Times New Roman"/>
          <w:sz w:val="24"/>
        </w:rPr>
        <w:t>еспублики Тыва не допущено.</w:t>
      </w:r>
    </w:p>
    <w:p w14:paraId="92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>За 1 квартал 2021 года обращений граждан и юридических лиц на деятельность лицензиатов не поступало (АППГ - 0).</w:t>
      </w:r>
    </w:p>
    <w:p w14:paraId="93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нижеприведенной таблице представлены обобщенные сведения анализа правоприменительной практики и наиболее часто зад</w:t>
      </w:r>
      <w:r>
        <w:rPr>
          <w:rFonts w:ascii="Times New Roman" w:hAnsi="Times New Roman"/>
          <w:sz w:val="24"/>
        </w:rPr>
        <w:t>аваемые вопросы подконтрольных субъектов при организации и осуществлении лицензионного контроля.</w:t>
      </w:r>
    </w:p>
    <w:p w14:paraId="94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</w:p>
    <w:p w14:paraId="9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Государственный надзор во внутренних водах и территориальном море Российской Федерации за маломерными судами, используемыми в некоммерческих целях, и базами (</w:t>
      </w:r>
      <w:r>
        <w:rPr>
          <w:rFonts w:ascii="Times New Roman" w:hAnsi="Times New Roman"/>
          <w:b w:val="1"/>
          <w:sz w:val="24"/>
        </w:rPr>
        <w:t>сооружениями) для их стоянок</w:t>
      </w:r>
    </w:p>
    <w:p w14:paraId="96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14:paraId="97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2021 году на учёте в центре ГИМС ГУ состоит 2718 маломерных судов (АППГ - 2680, + 1,41%), 1464 судоводителя (выдано удостоверений на право управления маломерными судами</w:t>
      </w:r>
      <w:r>
        <w:rPr>
          <w:rFonts w:ascii="Times New Roman" w:hAnsi="Times New Roman"/>
          <w:sz w:val="24"/>
        </w:rPr>
        <w:t>)(</w:t>
      </w:r>
      <w:r>
        <w:rPr>
          <w:rFonts w:ascii="Times New Roman" w:hAnsi="Times New Roman"/>
          <w:sz w:val="24"/>
        </w:rPr>
        <w:t>АППГ - 1394, +5,02%) 1 база (сооружение) для стоянки м</w:t>
      </w:r>
      <w:r>
        <w:rPr>
          <w:rFonts w:ascii="Times New Roman" w:hAnsi="Times New Roman"/>
          <w:sz w:val="24"/>
        </w:rPr>
        <w:t xml:space="preserve">аломерных судов (АППГ - 1),  4 пляжа (АППГ - 4) и 5 ледовые переправы (АППГ - 4, +25%). </w:t>
      </w:r>
    </w:p>
    <w:p w14:paraId="98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проведённой работы в 1 квартале 2021 года:</w:t>
      </w:r>
    </w:p>
    <w:p w14:paraId="99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зарегистрировано маломерных судов - 14 ед. (АППГ – 16 ед., -12,5%); </w:t>
      </w:r>
    </w:p>
    <w:p w14:paraId="9A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аттестация судоводителей и освидетельствование судов не проводилась (АППГ - 0). </w:t>
      </w:r>
    </w:p>
    <w:p w14:paraId="9B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1 квартал 2021 года в центр ГИМС за оказанием государственных услуг подано 14 заявлений (АППГ - 34, - в 2,42 раза), из них  в электронном виде – 14 заявлений (АППГ - 9, +</w:t>
      </w:r>
      <w:r>
        <w:rPr>
          <w:rFonts w:ascii="Times New Roman" w:hAnsi="Times New Roman"/>
          <w:sz w:val="24"/>
        </w:rPr>
        <w:t xml:space="preserve"> 55,5%), услуги оказаны 100 % (АППГ - 100%).</w:t>
      </w:r>
    </w:p>
    <w:p w14:paraId="9C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по оказанию услуг в электронном виде размещена на сайте Главного управления, инспекторских участках ГИМС, администрациях муниципальных образованиях и пожарно-спасательных частях республики. Там же ука</w:t>
      </w:r>
      <w:r>
        <w:rPr>
          <w:rFonts w:ascii="Times New Roman" w:hAnsi="Times New Roman"/>
          <w:sz w:val="24"/>
        </w:rPr>
        <w:t>заны контактные телефоны.</w:t>
      </w:r>
    </w:p>
    <w:p w14:paraId="9D000000">
      <w:pPr>
        <w:tabs>
          <w:tab w:leader="none" w:pos="7485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данным территориального органа Федеральной службы государственной статистики в 1 квартале 2021 года на водных объектах республики гибели людей на водных объектах не зарегистрировано, на аналогичный период прошлого года гибели л</w:t>
      </w:r>
      <w:r>
        <w:rPr>
          <w:rFonts w:ascii="Times New Roman" w:hAnsi="Times New Roman"/>
          <w:sz w:val="24"/>
        </w:rPr>
        <w:t>юдей на водных объектах так же не зарегистрировано (АППГ - 0).</w:t>
      </w:r>
    </w:p>
    <w:p w14:paraId="9E000000">
      <w:pPr>
        <w:tabs>
          <w:tab w:leader="none" w:pos="0" w:val="left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В целях недопущения несчастных случаев и гибели людей государственными инспекторами центра ГИМС ГУ совместно с представителями органов исполнительной власти, полиции, со спасателями, СМИ, прове</w:t>
      </w:r>
      <w:r>
        <w:rPr>
          <w:rFonts w:ascii="Times New Roman" w:hAnsi="Times New Roman"/>
          <w:sz w:val="24"/>
        </w:rPr>
        <w:t>дено</w:t>
      </w:r>
      <w:r>
        <w:rPr>
          <w:rFonts w:ascii="Times New Roman" w:hAnsi="Times New Roman"/>
          <w:b w:val="1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290 профилактических патрулирований по предупреждению несчастных случаев и соблюдению населением </w:t>
      </w:r>
      <w:r>
        <w:rPr>
          <w:rFonts w:ascii="Times New Roman" w:hAnsi="Times New Roman"/>
          <w:sz w:val="24"/>
          <w:highlight w:val="white"/>
        </w:rPr>
        <w:t xml:space="preserve">правил безопасного поведения на водных объектах </w:t>
      </w:r>
      <w:r>
        <w:rPr>
          <w:rFonts w:ascii="Times New Roman" w:hAnsi="Times New Roman"/>
          <w:sz w:val="24"/>
        </w:rPr>
        <w:t>(АППГ – 306, - 5,2%)</w:t>
      </w:r>
      <w:r>
        <w:rPr>
          <w:rFonts w:ascii="Times New Roman" w:hAnsi="Times New Roman"/>
          <w:sz w:val="24"/>
          <w:highlight w:val="white"/>
        </w:rPr>
        <w:t>, в ходе которых охвачено 8993 человека (АППГ – 4500, + в 1,99 раза).</w:t>
      </w:r>
    </w:p>
    <w:p w14:paraId="9F000000">
      <w:pPr>
        <w:tabs>
          <w:tab w:leader="none" w:pos="0" w:val="left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Организовано п</w:t>
      </w:r>
      <w:r>
        <w:rPr>
          <w:rFonts w:ascii="Times New Roman" w:hAnsi="Times New Roman"/>
          <w:sz w:val="24"/>
          <w:highlight w:val="white"/>
        </w:rPr>
        <w:t>роведение трех этапов профилактической акции «Безопасный лед».</w:t>
      </w:r>
    </w:p>
    <w:p w14:paraId="A0000000">
      <w:pPr>
        <w:spacing w:after="0" w:line="240" w:lineRule="auto"/>
        <w:ind w:firstLine="567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начала 2021 года государственными инспекторами центра ГИМС ГУ выписано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9 предписаний (АППГ - 6, + 50%) председателям администраций муниципальных образований </w:t>
      </w:r>
      <w:r>
        <w:rPr>
          <w:rFonts w:ascii="Times New Roman" w:hAnsi="Times New Roman"/>
          <w:sz w:val="24"/>
        </w:rPr>
        <w:t>Улуг-Хемского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Тоджинского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Каа-Хе</w:t>
      </w:r>
      <w:r>
        <w:rPr>
          <w:rFonts w:ascii="Times New Roman" w:hAnsi="Times New Roman"/>
          <w:sz w:val="24"/>
        </w:rPr>
        <w:t>мского</w:t>
      </w:r>
      <w:r>
        <w:rPr>
          <w:rFonts w:ascii="Times New Roman" w:hAnsi="Times New Roman"/>
          <w:sz w:val="24"/>
        </w:rPr>
        <w:t xml:space="preserve"> районов по выставлению знаков безопасности на водных объектах (предписания исполнены в полном объеме).</w:t>
      </w:r>
    </w:p>
    <w:p w14:paraId="A100000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14:paraId="A2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</w:p>
    <w:p w14:paraId="A3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</w:p>
    <w:p w14:paraId="A4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</w:p>
    <w:p w14:paraId="A5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</w:p>
    <w:p w14:paraId="A6000000">
      <w:pPr>
        <w:spacing w:after="0" w:line="240" w:lineRule="auto"/>
        <w:ind w:firstLine="709" w:right="-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Достижение показателей Программы профилактики нарушений за 1 квартал 2021 г.</w:t>
      </w:r>
    </w:p>
    <w:p w14:paraId="A7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602"/>
        <w:gridCol w:w="3045"/>
        <w:gridCol w:w="1086"/>
        <w:gridCol w:w="1056"/>
        <w:gridCol w:w="960"/>
        <w:gridCol w:w="1200"/>
        <w:gridCol w:w="1200"/>
      </w:tblGrid>
      <w:tr>
        <w:trPr>
          <w:trHeight w:hRule="atLeast" w:val="299"/>
        </w:trPr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Целевые показатели программы и их значения по годам</w:t>
            </w:r>
          </w:p>
        </w:tc>
        <w:tc>
          <w:tcPr>
            <w:tcW w:type="dxa" w:w="30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</w:t>
            </w:r>
            <w:r>
              <w:rPr>
                <w:rStyle w:val="Style_4_ch"/>
                <w:sz w:val="20"/>
              </w:rPr>
              <w:footnoteReference w:id="1"/>
            </w:r>
          </w:p>
        </w:tc>
        <w:tc>
          <w:tcPr>
            <w:tcW w:type="dxa" w:w="10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spacing w:after="0"/>
              <w:ind w:firstLine="0" w:left="-84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type="dxa" w:w="20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type="dxa" w:w="24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год</w:t>
            </w:r>
          </w:p>
        </w:tc>
      </w:tr>
      <w:tr>
        <w:trPr>
          <w:trHeight w:hRule="atLeast" w:val="178"/>
        </w:trPr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концу года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кв.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концу года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кв.</w:t>
            </w:r>
          </w:p>
        </w:tc>
      </w:tr>
      <w:tr>
        <w:trPr>
          <w:trHeight w:hRule="atLeast" w:val="641"/>
        </w:trPr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Увеличение доли профилактических мероприятий в общем объёме контрольно-надзорной деятельности МЧС России, не менее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/>
              <w:ind w:firstLine="0" w:left="-84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  <w:p w14:paraId="B3000000">
            <w:pPr>
              <w:spacing w:after="0"/>
              <w:ind w:firstLine="0" w:left="-84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г., %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45%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11%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22,7%</w:t>
            </w:r>
          </w:p>
        </w:tc>
      </w:tr>
      <w:tr>
        <w:trPr>
          <w:trHeight w:hRule="atLeast" w:val="214"/>
        </w:trPr>
        <w:tc>
          <w:tcPr>
            <w:tcW w:type="dxa" w:w="16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Целевые показатели </w:t>
            </w:r>
            <w:r>
              <w:rPr>
                <w:rFonts w:ascii="Times New Roman" w:hAnsi="Times New Roman"/>
                <w:b w:val="1"/>
                <w:sz w:val="20"/>
              </w:rPr>
              <w:t>программы и их значения по годам</w:t>
            </w:r>
          </w:p>
        </w:tc>
        <w:tc>
          <w:tcPr>
            <w:tcW w:type="dxa" w:w="3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Увеличение доли организованных и (или) проведенных с участием МЧС России практических тренировок по эвакуации людей на объектах высокой и значительной категории риска, не менее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/>
              <w:ind w:firstLine="0" w:left="-85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  <w:p w14:paraId="BB000000">
            <w:pPr>
              <w:spacing w:after="0"/>
              <w:ind w:firstLine="0" w:left="-85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г., %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45%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10%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26,3%</w:t>
            </w:r>
          </w:p>
        </w:tc>
      </w:tr>
      <w:tr>
        <w:trPr>
          <w:trHeight w:hRule="atLeast" w:val="569"/>
        </w:trPr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количества профилактических плановых (рейдовых) осмотров (обследований) территорий</w:t>
            </w:r>
            <w:r>
              <w:rPr>
                <w:rStyle w:val="Style_4_ch"/>
                <w:sz w:val="20"/>
              </w:rPr>
              <w:footnoteReference w:id="2"/>
            </w:r>
            <w:r>
              <w:rPr>
                <w:rFonts w:ascii="Times New Roman" w:hAnsi="Times New Roman"/>
                <w:sz w:val="20"/>
              </w:rPr>
              <w:t>, не менее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spacing w:after="0"/>
              <w:ind w:firstLine="0" w:left="-85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</w:t>
            </w:r>
          </w:p>
          <w:p w14:paraId="C2000000">
            <w:pPr>
              <w:spacing w:after="0"/>
              <w:ind w:firstLine="0" w:left="-85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 г., %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50%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15%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65%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17%</w:t>
            </w:r>
          </w:p>
        </w:tc>
      </w:tr>
      <w:tr>
        <w:trPr>
          <w:trHeight w:hRule="atLeast" w:val="637"/>
        </w:trPr>
        <w:tc>
          <w:tcPr>
            <w:tcW w:type="dxa" w:w="16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Информированность населения Российской Федерации в области комплексной безопасности жизнедеятельности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spacing w:after="0"/>
              <w:ind w:firstLine="0" w:left="-85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</w:t>
            </w:r>
            <w:r>
              <w:rPr>
                <w:rFonts w:ascii="Times New Roman" w:hAnsi="Times New Roman"/>
                <w:sz w:val="20"/>
              </w:rPr>
              <w:t>2016 г.,</w:t>
            </w:r>
          </w:p>
          <w:p w14:paraId="C9000000">
            <w:pPr>
              <w:spacing w:after="0"/>
              <w:ind w:firstLine="0" w:left="-85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55%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14%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70%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35%</w:t>
            </w:r>
          </w:p>
        </w:tc>
      </w:tr>
    </w:tbl>
    <w:p w14:paraId="CE000000">
      <w:pPr>
        <w:spacing w:after="0" w:line="240" w:lineRule="auto"/>
        <w:ind w:firstLine="709" w:right="-2"/>
        <w:jc w:val="both"/>
        <w:rPr>
          <w:rFonts w:ascii="Times New Roman" w:hAnsi="Times New Roman"/>
          <w:sz w:val="24"/>
        </w:rPr>
      </w:pPr>
    </w:p>
    <w:sectPr>
      <w:pgSz w:h="16838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CF000000">
      <w:pPr>
        <w:pStyle w:val="Style_29"/>
      </w:pPr>
      <w:r>
        <w:rPr>
          <w:vertAlign w:val="superscript"/>
        </w:rPr>
        <w:footnoteRef/>
      </w:r>
      <w:r>
        <w:t xml:space="preserve"> Показатели рассчитываются на основании методики, разработанной МЧС России.</w:t>
      </w:r>
    </w:p>
  </w:footnote>
  <w:footnote w:id="2">
    <w:p w14:paraId="D0000000">
      <w:pPr>
        <w:pStyle w:val="Style_29"/>
      </w:pPr>
      <w:r>
        <w:rPr>
          <w:vertAlign w:val="superscript"/>
        </w:rPr>
        <w:footnoteRef/>
      </w:r>
      <w:r>
        <w:t xml:space="preserve"> </w:t>
      </w:r>
      <w:r>
        <w:t xml:space="preserve">Порядок проведения профилактических плановых (рейдовых) осмотров (обследования) территорий, акваторий устанавливается приказом МЧС России от </w:t>
      </w:r>
      <w:r>
        <w:t>24.03.2017 № 132 «Об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</w:t>
      </w:r>
      <w:r>
        <w:t>звычайных ситуаций природного и техногенного характера и оформления результатов таких плановых (рейдовых) осмотров, обследований».</w:t>
      </w:r>
    </w:p>
  </w:footnote>
</w:footnote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1">
    <w:lvl w:ilvl="0">
      <w:start w:val="1"/>
      <w:numFmt w:val="bullet"/>
      <w:lvlText w:val="-"/>
      <w:lvlJc w:val="left"/>
      <w:pPr>
        <w:ind w:hanging="360" w:left="1146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86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8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30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02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4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6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8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906"/>
      </w:pPr>
      <w:rPr>
        <w:rFonts w:ascii="Wingdings" w:hAnsi="Wingdings"/>
      </w:rPr>
    </w:lvl>
  </w:abstractNum>
  <w:abstractNum w:abstractNumId="12">
    <w:lvl w:ilvl="0">
      <w:start w:val="1"/>
      <w:numFmt w:val="upperRoman"/>
      <w:pStyle w:val="Style_18"/>
      <w:lvlText w:val="%1."/>
      <w:lvlJc w:val="left"/>
      <w:pPr>
        <w:tabs>
          <w:tab w:leader="none" w:pos="1080" w:val="left"/>
        </w:tabs>
        <w:ind w:hanging="720" w:left="1080"/>
      </w:pPr>
      <w:rPr>
        <w:b w:val="1"/>
        <w:sz w:val="24"/>
      </w:rPr>
    </w:lvl>
    <w:lvl w:ilvl="1">
      <w:numFmt w:val="decimal"/>
      <w:lvlText w:val=""/>
      <w:lvlJc w:val="left"/>
      <w:pPr>
        <w:tabs>
          <w:tab w:leader="none" w:pos="360" w:val="left"/>
        </w:tabs>
        <w:ind/>
      </w:pPr>
    </w:lvl>
    <w:lvl w:ilvl="2">
      <w:numFmt w:val="decimal"/>
      <w:lvlText w:val=""/>
      <w:lvlJc w:val="left"/>
      <w:pPr>
        <w:tabs>
          <w:tab w:leader="none" w:pos="360" w:val="left"/>
        </w:tabs>
        <w:ind/>
      </w:pPr>
    </w:lvl>
    <w:lvl w:ilvl="3">
      <w:numFmt w:val="decimal"/>
      <w:lvlText w:val=""/>
      <w:lvlJc w:val="left"/>
      <w:pPr>
        <w:tabs>
          <w:tab w:leader="none" w:pos="360" w:val="left"/>
        </w:tabs>
        <w:ind/>
      </w:pPr>
    </w:lvl>
    <w:lvl w:ilvl="4">
      <w:numFmt w:val="decimal"/>
      <w:lvlText w:val=""/>
      <w:lvlJc w:val="left"/>
      <w:pPr>
        <w:tabs>
          <w:tab w:leader="none" w:pos="360" w:val="left"/>
        </w:tabs>
        <w:ind/>
      </w:pPr>
    </w:lvl>
    <w:lvl w:ilvl="5">
      <w:numFmt w:val="decimal"/>
      <w:lvlText w:val=""/>
      <w:lvlJc w:val="left"/>
      <w:pPr>
        <w:tabs>
          <w:tab w:leader="none" w:pos="360" w:val="left"/>
        </w:tabs>
        <w:ind/>
      </w:pPr>
    </w:lvl>
    <w:lvl w:ilvl="6">
      <w:numFmt w:val="decimal"/>
      <w:lvlText w:val=""/>
      <w:lvlJc w:val="left"/>
      <w:pPr>
        <w:tabs>
          <w:tab w:leader="none" w:pos="360" w:val="left"/>
        </w:tabs>
        <w:ind/>
      </w:pPr>
    </w:lvl>
    <w:lvl w:ilvl="7">
      <w:numFmt w:val="decimal"/>
      <w:lvlText w:val=""/>
      <w:lvlJc w:val="left"/>
      <w:pPr>
        <w:tabs>
          <w:tab w:leader="none" w:pos="360" w:val="left"/>
        </w:tabs>
        <w:ind/>
      </w:pPr>
    </w:lvl>
    <w:lvl w:ilvl="8">
      <w:numFmt w:val="decimal"/>
      <w:lvlText w:val=""/>
      <w:lvlJc w:val="left"/>
      <w:pPr>
        <w:tabs>
          <w:tab w:leader="none" w:pos="360" w:val="left"/>
        </w:tabs>
        <w:ind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Знак"/>
    <w:basedOn w:val="Style_5"/>
    <w:link w:val="Style_6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6_ch" w:type="character">
    <w:name w:val="Знак"/>
    <w:basedOn w:val="Style_5_ch"/>
    <w:link w:val="Style_6"/>
    <w:rPr>
      <w:rFonts w:ascii="Times New Roman" w:hAnsi="Times New Roman"/>
      <w:sz w:val="20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Body Text Indent 3"/>
    <w:basedOn w:val="Style_5"/>
    <w:link w:val="Style_8_ch"/>
    <w:pPr>
      <w:spacing w:after="0" w:line="240" w:lineRule="auto"/>
      <w:ind w:firstLine="708"/>
      <w:jc w:val="both"/>
    </w:pPr>
    <w:rPr>
      <w:rFonts w:ascii="Times New Roman" w:hAnsi="Times New Roman"/>
      <w:sz w:val="20"/>
    </w:rPr>
  </w:style>
  <w:style w:styleId="Style_8_ch" w:type="character">
    <w:name w:val="Body Text Indent 3"/>
    <w:basedOn w:val="Style_5_ch"/>
    <w:link w:val="Style_8"/>
    <w:rPr>
      <w:rFonts w:ascii="Times New Roman" w:hAnsi="Times New Roman"/>
      <w:sz w:val="20"/>
    </w:rPr>
  </w:style>
  <w:style w:styleId="Style_9" w:type="paragraph">
    <w:name w:val="header"/>
    <w:basedOn w:val="Style_5"/>
    <w:link w:val="Style_9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header"/>
    <w:basedOn w:val="Style_5_ch"/>
    <w:link w:val="Style_9"/>
    <w:rPr>
      <w:rFonts w:ascii="Times New Roman" w:hAnsi="Times New Roman"/>
      <w:sz w:val="28"/>
    </w:rPr>
  </w:style>
  <w:style w:styleId="Style_10" w:type="paragraph">
    <w:name w:val="toc 4"/>
    <w:next w:val="Style_5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heading 7"/>
    <w:basedOn w:val="Style_5"/>
    <w:next w:val="Style_5"/>
    <w:link w:val="Style_11_ch"/>
    <w:uiPriority w:val="9"/>
    <w:qFormat/>
    <w:pPr>
      <w:keepNext w:val="1"/>
      <w:spacing w:after="0" w:before="120" w:line="240" w:lineRule="auto"/>
      <w:ind/>
      <w:jc w:val="center"/>
      <w:outlineLvl w:val="6"/>
    </w:pPr>
    <w:rPr>
      <w:rFonts w:ascii="Times New Roman" w:hAnsi="Times New Roman"/>
      <w:b w:val="1"/>
      <w:u w:val="single"/>
    </w:rPr>
  </w:style>
  <w:style w:styleId="Style_11_ch" w:type="character">
    <w:name w:val="heading 7"/>
    <w:basedOn w:val="Style_5_ch"/>
    <w:link w:val="Style_11"/>
    <w:rPr>
      <w:rFonts w:ascii="Times New Roman" w:hAnsi="Times New Roman"/>
      <w:b w:val="1"/>
      <w:u w:val="single"/>
    </w:rPr>
  </w:style>
  <w:style w:styleId="Style_12" w:type="paragraph">
    <w:name w:val="toc 6"/>
    <w:next w:val="Style_5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5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Body Text Indent"/>
    <w:basedOn w:val="Style_5"/>
    <w:link w:val="Style_14_ch"/>
    <w:pPr>
      <w:spacing w:after="120" w:line="240" w:lineRule="auto"/>
      <w:ind w:firstLine="0" w:left="283"/>
    </w:pPr>
    <w:rPr>
      <w:rFonts w:ascii="Times New Roman" w:hAnsi="Times New Roman"/>
      <w:sz w:val="24"/>
    </w:rPr>
  </w:style>
  <w:style w:styleId="Style_14_ch" w:type="character">
    <w:name w:val="Body Text Indent"/>
    <w:basedOn w:val="Style_5_ch"/>
    <w:link w:val="Style_14"/>
    <w:rPr>
      <w:rFonts w:ascii="Times New Roman" w:hAnsi="Times New Roman"/>
      <w:sz w:val="24"/>
    </w:rPr>
  </w:style>
  <w:style w:styleId="Style_15" w:type="paragraph">
    <w:name w:val="Normal (Web)"/>
    <w:basedOn w:val="Style_5"/>
    <w:link w:val="Style_15_ch"/>
    <w:pPr>
      <w:spacing w:after="0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5_ch"/>
    <w:link w:val="Style_15"/>
    <w:rPr>
      <w:rFonts w:ascii="Times New Roman" w:hAnsi="Times New Roman"/>
      <w:sz w:val="24"/>
    </w:rPr>
  </w:style>
  <w:style w:styleId="Style_16" w:type="paragraph">
    <w:name w:val="xl27"/>
    <w:basedOn w:val="Style_5"/>
    <w:link w:val="Style_16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16_ch" w:type="character">
    <w:name w:val="xl27"/>
    <w:basedOn w:val="Style_5_ch"/>
    <w:link w:val="Style_16"/>
    <w:rPr>
      <w:rFonts w:ascii="Times New Roman" w:hAnsi="Times New Roman"/>
      <w:b w:val="1"/>
      <w:sz w:val="24"/>
    </w:rPr>
  </w:style>
  <w:style w:styleId="Style_17" w:type="paragraph">
    <w:name w:val="Body Text Indent 2"/>
    <w:basedOn w:val="Style_5"/>
    <w:link w:val="Style_17_ch"/>
    <w:pPr>
      <w:spacing w:after="0" w:line="240" w:lineRule="auto"/>
      <w:ind w:firstLine="720"/>
      <w:jc w:val="both"/>
    </w:pPr>
    <w:rPr>
      <w:rFonts w:ascii="Times New Roman" w:hAnsi="Times New Roman"/>
      <w:b w:val="1"/>
      <w:sz w:val="24"/>
    </w:rPr>
  </w:style>
  <w:style w:styleId="Style_17_ch" w:type="character">
    <w:name w:val="Body Text Indent 2"/>
    <w:basedOn w:val="Style_5_ch"/>
    <w:link w:val="Style_17"/>
    <w:rPr>
      <w:rFonts w:ascii="Times New Roman" w:hAnsi="Times New Roman"/>
      <w:b w:val="1"/>
      <w:sz w:val="24"/>
    </w:rPr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numPr>
        <w:numId w:val="13"/>
      </w:numPr>
      <w:spacing w:after="0" w:line="240" w:lineRule="auto"/>
      <w:ind/>
      <w:jc w:val="center"/>
      <w:outlineLvl w:val="2"/>
    </w:pPr>
    <w:rPr>
      <w:rFonts w:ascii="Times New Roman" w:hAnsi="Times New Roman"/>
      <w:sz w:val="24"/>
    </w:rPr>
  </w:style>
  <w:style w:styleId="Style_18_ch" w:type="character">
    <w:name w:val="heading 3"/>
    <w:basedOn w:val="Style_5_ch"/>
    <w:link w:val="Style_18"/>
    <w:rPr>
      <w:rFonts w:ascii="Times New Roman" w:hAnsi="Times New Roman"/>
      <w:sz w:val="24"/>
    </w:rPr>
  </w:style>
  <w:style w:styleId="Style_19" w:type="paragraph">
    <w:name w:val="Знак267"/>
    <w:basedOn w:val="Style_5"/>
    <w:link w:val="Style_19_ch"/>
    <w:pPr>
      <w:widowControl w:val="0"/>
      <w:spacing w:after="160" w:line="240" w:lineRule="exact"/>
      <w:ind/>
      <w:jc w:val="right"/>
    </w:pPr>
    <w:rPr>
      <w:rFonts w:ascii="Calibri" w:hAnsi="Calibri"/>
      <w:sz w:val="20"/>
    </w:rPr>
  </w:style>
  <w:style w:styleId="Style_19_ch" w:type="character">
    <w:name w:val="Знак267"/>
    <w:basedOn w:val="Style_5_ch"/>
    <w:link w:val="Style_19"/>
    <w:rPr>
      <w:rFonts w:ascii="Calibri" w:hAnsi="Calibri"/>
      <w:sz w:val="20"/>
    </w:rPr>
  </w:style>
  <w:style w:styleId="Style_20" w:type="paragraph">
    <w:name w:val="Основной текст 21"/>
    <w:basedOn w:val="Style_5"/>
    <w:link w:val="Style_20_ch"/>
    <w:pPr>
      <w:spacing w:after="0" w:line="360" w:lineRule="auto"/>
      <w:ind w:firstLine="720"/>
      <w:jc w:val="both"/>
    </w:pPr>
    <w:rPr>
      <w:rFonts w:ascii="Garamond" w:hAnsi="Garamond"/>
      <w:sz w:val="28"/>
    </w:rPr>
  </w:style>
  <w:style w:styleId="Style_20_ch" w:type="character">
    <w:name w:val="Основной текст 21"/>
    <w:basedOn w:val="Style_5_ch"/>
    <w:link w:val="Style_20"/>
    <w:rPr>
      <w:rFonts w:ascii="Garamond" w:hAnsi="Garamond"/>
      <w:sz w:val="28"/>
    </w:rPr>
  </w:style>
  <w:style w:styleId="Style_21" w:type="paragraph">
    <w:name w:val="footer"/>
    <w:basedOn w:val="Style_5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1_ch" w:type="character">
    <w:name w:val="footer"/>
    <w:basedOn w:val="Style_5_ch"/>
    <w:link w:val="Style_21"/>
    <w:rPr>
      <w:rFonts w:ascii="Times New Roman" w:hAnsi="Times New Roman"/>
      <w:sz w:val="24"/>
    </w:rPr>
  </w:style>
  <w:style w:styleId="Style_22" w:type="paragraph">
    <w:name w:val="heading 9"/>
    <w:basedOn w:val="Style_5"/>
    <w:next w:val="Style_5"/>
    <w:link w:val="Style_22_ch"/>
    <w:uiPriority w:val="9"/>
    <w:qFormat/>
    <w:pPr>
      <w:keepNext w:val="1"/>
      <w:keepLines w:val="1"/>
      <w:widowControl w:val="0"/>
      <w:spacing w:after="0" w:line="240" w:lineRule="auto"/>
      <w:ind/>
      <w:jc w:val="center"/>
      <w:outlineLvl w:val="8"/>
    </w:pPr>
    <w:rPr>
      <w:rFonts w:ascii="Times New Roman" w:hAnsi="Times New Roman"/>
      <w:b w:val="1"/>
      <w:sz w:val="24"/>
    </w:rPr>
  </w:style>
  <w:style w:styleId="Style_22_ch" w:type="character">
    <w:name w:val="heading 9"/>
    <w:basedOn w:val="Style_5_ch"/>
    <w:link w:val="Style_22"/>
    <w:rPr>
      <w:rFonts w:ascii="Times New Roman" w:hAnsi="Times New Roman"/>
      <w:b w:val="1"/>
      <w:sz w:val="24"/>
    </w:rPr>
  </w:style>
  <w:style w:styleId="Style_23" w:type="paragraph">
    <w:name w:val="toc 3"/>
    <w:next w:val="Style_5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Знак1 Знак Знак1 Знак"/>
    <w:basedOn w:val="Style_5"/>
    <w:link w:val="Style_24_ch"/>
    <w:pPr>
      <w:spacing w:after="160" w:line="240" w:lineRule="exact"/>
      <w:ind/>
    </w:pPr>
    <w:rPr>
      <w:rFonts w:ascii="Verdana" w:hAnsi="Verdana"/>
      <w:sz w:val="20"/>
    </w:rPr>
  </w:style>
  <w:style w:styleId="Style_24_ch" w:type="character">
    <w:name w:val="Знак1 Знак Знак1 Знак"/>
    <w:basedOn w:val="Style_5_ch"/>
    <w:link w:val="Style_24"/>
    <w:rPr>
      <w:rFonts w:ascii="Verdana" w:hAnsi="Verdana"/>
      <w:sz w:val="20"/>
    </w:rPr>
  </w:style>
  <w:style w:styleId="Style_25" w:type="paragraph">
    <w:name w:val="No Spacing"/>
    <w:link w:val="Style_25_ch"/>
    <w:pPr>
      <w:spacing w:after="0" w:line="240" w:lineRule="auto"/>
      <w:ind/>
    </w:pPr>
    <w:rPr>
      <w:rFonts w:ascii="Calibri" w:hAnsi="Calibri"/>
    </w:rPr>
  </w:style>
  <w:style w:styleId="Style_25_ch" w:type="character">
    <w:name w:val="No Spacing"/>
    <w:link w:val="Style_25"/>
    <w:rPr>
      <w:rFonts w:ascii="Calibri" w:hAnsi="Calibri"/>
    </w:rPr>
  </w:style>
  <w:style w:styleId="Style_26" w:type="paragraph">
    <w:name w:val="heading 5"/>
    <w:basedOn w:val="Style_5"/>
    <w:next w:val="Style_5"/>
    <w:link w:val="Style_26_ch"/>
    <w:uiPriority w:val="9"/>
    <w:qFormat/>
    <w:pPr>
      <w:keepNext w:val="1"/>
      <w:spacing w:after="0" w:line="240" w:lineRule="auto"/>
      <w:ind/>
      <w:jc w:val="center"/>
      <w:outlineLvl w:val="4"/>
    </w:pPr>
    <w:rPr>
      <w:rFonts w:ascii="Times New Roman" w:hAnsi="Times New Roman"/>
      <w:b w:val="1"/>
      <w:sz w:val="24"/>
      <w:u w:val="single"/>
    </w:rPr>
  </w:style>
  <w:style w:styleId="Style_26_ch" w:type="character">
    <w:name w:val="heading 5"/>
    <w:basedOn w:val="Style_5_ch"/>
    <w:link w:val="Style_26"/>
    <w:rPr>
      <w:rFonts w:ascii="Times New Roman" w:hAnsi="Times New Roman"/>
      <w:b w:val="1"/>
      <w:sz w:val="24"/>
      <w:u w:val="single"/>
    </w:rPr>
  </w:style>
  <w:style w:styleId="Style_27" w:type="paragraph">
    <w:name w:val="heading 1"/>
    <w:basedOn w:val="Style_5"/>
    <w:next w:val="Style_5"/>
    <w:link w:val="Style_27_ch"/>
    <w:uiPriority w:val="9"/>
    <w:qFormat/>
    <w:pPr>
      <w:keepNext w:val="1"/>
      <w:keepLines w:val="1"/>
      <w:spacing w:after="0" w:line="240" w:lineRule="auto"/>
      <w:ind/>
      <w:outlineLvl w:val="0"/>
    </w:pPr>
    <w:rPr>
      <w:rFonts w:ascii="Times New Roman" w:hAnsi="Times New Roman"/>
      <w:b w:val="1"/>
      <w:sz w:val="24"/>
    </w:rPr>
  </w:style>
  <w:style w:styleId="Style_27_ch" w:type="character">
    <w:name w:val="heading 1"/>
    <w:basedOn w:val="Style_5_ch"/>
    <w:link w:val="Style_27"/>
    <w:rPr>
      <w:rFonts w:ascii="Times New Roman" w:hAnsi="Times New Roman"/>
      <w:b w:val="1"/>
      <w:sz w:val="24"/>
    </w:rPr>
  </w:style>
  <w:style w:styleId="Style_1" w:type="paragraph">
    <w:name w:val="List Paragraph"/>
    <w:basedOn w:val="Style_5"/>
    <w:link w:val="Style_1_ch"/>
    <w:pPr>
      <w:ind w:firstLine="0" w:left="720"/>
      <w:contextualSpacing w:val="1"/>
    </w:pPr>
  </w:style>
  <w:style w:styleId="Style_1_ch" w:type="character">
    <w:name w:val="List Paragraph"/>
    <w:basedOn w:val="Style_5_ch"/>
    <w:link w:val="Style_1"/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basedOn w:val="Style_5"/>
    <w:link w:val="Style_29_ch"/>
    <w:pPr>
      <w:spacing w:after="0" w:line="240" w:lineRule="auto"/>
      <w:ind/>
    </w:pPr>
    <w:rPr>
      <w:rFonts w:ascii="Times New Roman" w:hAnsi="Times New Roman"/>
      <w:sz w:val="20"/>
    </w:rPr>
  </w:style>
  <w:style w:styleId="Style_29_ch" w:type="character">
    <w:name w:val="Footnote"/>
    <w:basedOn w:val="Style_5_ch"/>
    <w:link w:val="Style_29"/>
    <w:rPr>
      <w:rFonts w:ascii="Times New Roman" w:hAnsi="Times New Roman"/>
      <w:sz w:val="20"/>
    </w:rPr>
  </w:style>
  <w:style w:styleId="Style_30" w:type="paragraph">
    <w:name w:val="heading 8"/>
    <w:basedOn w:val="Style_5"/>
    <w:next w:val="Style_5"/>
    <w:link w:val="Style_30_ch"/>
    <w:uiPriority w:val="9"/>
    <w:qFormat/>
    <w:pPr>
      <w:keepNext w:val="1"/>
      <w:spacing w:after="0" w:line="240" w:lineRule="auto"/>
      <w:ind/>
      <w:outlineLvl w:val="7"/>
    </w:pPr>
    <w:rPr>
      <w:rFonts w:ascii="Times New Roman" w:hAnsi="Times New Roman"/>
      <w:b w:val="1"/>
      <w:sz w:val="24"/>
    </w:rPr>
  </w:style>
  <w:style w:styleId="Style_30_ch" w:type="character">
    <w:name w:val="heading 8"/>
    <w:basedOn w:val="Style_5_ch"/>
    <w:link w:val="Style_30"/>
    <w:rPr>
      <w:rFonts w:ascii="Times New Roman" w:hAnsi="Times New Roman"/>
      <w:b w:val="1"/>
      <w:sz w:val="24"/>
    </w:rPr>
  </w:style>
  <w:style w:styleId="Style_31" w:type="paragraph">
    <w:name w:val="xl30"/>
    <w:basedOn w:val="Style_5"/>
    <w:link w:val="Style_31_ch"/>
    <w:pPr>
      <w:spacing w:afterAutospacing="on" w:beforeAutospacing="on" w:line="240" w:lineRule="auto"/>
      <w:ind/>
      <w:jc w:val="center"/>
    </w:pPr>
    <w:rPr>
      <w:rFonts w:ascii="Arial Unicode MS" w:hAnsi="Arial Unicode MS"/>
      <w:b w:val="1"/>
      <w:sz w:val="20"/>
    </w:rPr>
  </w:style>
  <w:style w:styleId="Style_31_ch" w:type="character">
    <w:name w:val="xl30"/>
    <w:basedOn w:val="Style_5_ch"/>
    <w:link w:val="Style_31"/>
    <w:rPr>
      <w:rFonts w:ascii="Arial Unicode MS" w:hAnsi="Arial Unicode MS"/>
      <w:b w:val="1"/>
      <w:sz w:val="20"/>
    </w:rPr>
  </w:style>
  <w:style w:styleId="Style_32" w:type="paragraph">
    <w:name w:val="toc 1"/>
    <w:next w:val="Style_5"/>
    <w:link w:val="Style_32_ch"/>
    <w:uiPriority w:val="39"/>
    <w:rPr>
      <w:rFonts w:ascii="XO Thames" w:hAnsi="XO Thames"/>
      <w:b w:val="1"/>
    </w:rPr>
  </w:style>
  <w:style w:styleId="Style_32_ch" w:type="character">
    <w:name w:val="toc 1"/>
    <w:link w:val="Style_32"/>
    <w:rPr>
      <w:rFonts w:ascii="XO Thames" w:hAnsi="XO Thames"/>
      <w:b w:val="1"/>
    </w:rPr>
  </w:style>
  <w:style w:styleId="Style_33" w:type="paragraph">
    <w:name w:val="Header and Footer"/>
    <w:link w:val="Style_33_ch"/>
    <w:pPr>
      <w:spacing w:line="360" w:lineRule="auto"/>
      <w:ind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5"/>
    <w:link w:val="Style_34_ch"/>
    <w:uiPriority w:val="39"/>
    <w:pPr>
      <w:ind w:firstLine="0" w:left="1600"/>
    </w:pPr>
  </w:style>
  <w:style w:styleId="Style_34_ch" w:type="character">
    <w:name w:val="toc 9"/>
    <w:link w:val="Style_34"/>
  </w:style>
  <w:style w:styleId="Style_35" w:type="paragraph">
    <w:name w:val="Знак Знак Знак Знак Знак Знак Знак"/>
    <w:basedOn w:val="Style_5"/>
    <w:link w:val="Style_35_ch"/>
    <w:pPr>
      <w:spacing w:after="160" w:line="240" w:lineRule="exact"/>
      <w:ind/>
    </w:pPr>
    <w:rPr>
      <w:rFonts w:ascii="Verdana" w:hAnsi="Verdana"/>
      <w:sz w:val="20"/>
    </w:rPr>
  </w:style>
  <w:style w:styleId="Style_35_ch" w:type="character">
    <w:name w:val="Знак Знак Знак Знак Знак Знак Знак"/>
    <w:basedOn w:val="Style_5_ch"/>
    <w:link w:val="Style_35"/>
    <w:rPr>
      <w:rFonts w:ascii="Verdana" w:hAnsi="Verdana"/>
      <w:sz w:val="20"/>
    </w:rPr>
  </w:style>
  <w:style w:styleId="Style_2" w:type="paragraph">
    <w:name w:val="Обычный1"/>
    <w:link w:val="Style_2_ch"/>
  </w:style>
  <w:style w:styleId="Style_2_ch" w:type="character">
    <w:name w:val="Обычный1"/>
    <w:link w:val="Style_2"/>
  </w:style>
  <w:style w:styleId="Style_36" w:type="paragraph">
    <w:name w:val="1 Знак Знак Знак Знак"/>
    <w:basedOn w:val="Style_5"/>
    <w:link w:val="Style_36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36_ch" w:type="character">
    <w:name w:val="1 Знак Знак Знак Знак"/>
    <w:basedOn w:val="Style_5_ch"/>
    <w:link w:val="Style_36"/>
    <w:rPr>
      <w:rFonts w:ascii="Times New Roman" w:hAnsi="Times New Roman"/>
      <w:sz w:val="20"/>
    </w:rPr>
  </w:style>
  <w:style w:styleId="Style_37" w:type="paragraph">
    <w:name w:val="Номер страницы1"/>
    <w:basedOn w:val="Style_38"/>
    <w:link w:val="Style_37_ch"/>
  </w:style>
  <w:style w:styleId="Style_37_ch" w:type="character">
    <w:name w:val="Номер страницы1"/>
    <w:basedOn w:val="Style_38_ch"/>
    <w:link w:val="Style_37"/>
  </w:style>
  <w:style w:styleId="Style_39" w:type="paragraph">
    <w:name w:val="toc 8"/>
    <w:next w:val="Style_5"/>
    <w:link w:val="Style_39_ch"/>
    <w:uiPriority w:val="39"/>
    <w:pPr>
      <w:ind w:firstLine="0" w:left="1400"/>
    </w:pPr>
  </w:style>
  <w:style w:styleId="Style_39_ch" w:type="character">
    <w:name w:val="toc 8"/>
    <w:link w:val="Style_39"/>
  </w:style>
  <w:style w:styleId="Style_40" w:type="paragraph">
    <w:name w:val="Body Text"/>
    <w:basedOn w:val="Style_5"/>
    <w:link w:val="Style_40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40_ch" w:type="character">
    <w:name w:val="Body Text"/>
    <w:basedOn w:val="Style_5_ch"/>
    <w:link w:val="Style_40"/>
    <w:rPr>
      <w:rFonts w:ascii="Times New Roman" w:hAnsi="Times New Roman"/>
      <w:sz w:val="24"/>
    </w:rPr>
  </w:style>
  <w:style w:styleId="Style_41" w:type="paragraph">
    <w:name w:val="Обычный1"/>
    <w:link w:val="Style_41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41_ch" w:type="character">
    <w:name w:val="Обычный1"/>
    <w:link w:val="Style_41"/>
    <w:rPr>
      <w:rFonts w:ascii="Times New Roman" w:hAnsi="Times New Roman"/>
      <w:sz w:val="20"/>
    </w:rPr>
  </w:style>
  <w:style w:styleId="Style_42" w:type="paragraph">
    <w:name w:val="Body Text 2"/>
    <w:basedOn w:val="Style_5"/>
    <w:link w:val="Style_42_ch"/>
    <w:pPr>
      <w:widowControl w:val="0"/>
      <w:spacing w:after="120" w:line="480" w:lineRule="auto"/>
      <w:ind/>
      <w:jc w:val="both"/>
    </w:pPr>
    <w:rPr>
      <w:rFonts w:ascii="Times New Roman" w:hAnsi="Times New Roman"/>
    </w:rPr>
  </w:style>
  <w:style w:styleId="Style_42_ch" w:type="character">
    <w:name w:val="Body Text 2"/>
    <w:basedOn w:val="Style_5_ch"/>
    <w:link w:val="Style_42"/>
    <w:rPr>
      <w:rFonts w:ascii="Times New Roman" w:hAnsi="Times New Roman"/>
    </w:rPr>
  </w:style>
  <w:style w:styleId="Style_43" w:type="paragraph">
    <w:name w:val="toc 5"/>
    <w:next w:val="Style_5"/>
    <w:link w:val="Style_43_ch"/>
    <w:uiPriority w:val="39"/>
    <w:pPr>
      <w:ind w:firstLine="0" w:left="800"/>
    </w:pPr>
  </w:style>
  <w:style w:styleId="Style_43_ch" w:type="character">
    <w:name w:val="toc 5"/>
    <w:link w:val="Style_43"/>
  </w:style>
  <w:style w:styleId="Style_44" w:type="paragraph">
    <w:name w:val="Обычный1"/>
    <w:link w:val="Style_44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44_ch" w:type="character">
    <w:name w:val="Обычный1"/>
    <w:link w:val="Style_44"/>
    <w:rPr>
      <w:rFonts w:ascii="Times New Roman" w:hAnsi="Times New Roman"/>
      <w:sz w:val="20"/>
    </w:rPr>
  </w:style>
  <w:style w:styleId="Style_45" w:type="paragraph">
    <w:name w:val="Body Text 3"/>
    <w:basedOn w:val="Style_5"/>
    <w:link w:val="Style_45_ch"/>
    <w:pPr>
      <w:spacing w:after="120" w:line="240" w:lineRule="auto"/>
      <w:ind/>
    </w:pPr>
    <w:rPr>
      <w:rFonts w:ascii="Times New Roman" w:hAnsi="Times New Roman"/>
      <w:sz w:val="16"/>
    </w:rPr>
  </w:style>
  <w:style w:styleId="Style_45_ch" w:type="character">
    <w:name w:val="Body Text 3"/>
    <w:basedOn w:val="Style_5_ch"/>
    <w:link w:val="Style_45"/>
    <w:rPr>
      <w:rFonts w:ascii="Times New Roman" w:hAnsi="Times New Roman"/>
      <w:sz w:val="16"/>
    </w:rPr>
  </w:style>
  <w:style w:styleId="Style_46" w:type="paragraph">
    <w:name w:val="Default Paragraph Font"/>
    <w:link w:val="Style_46_ch"/>
  </w:style>
  <w:style w:styleId="Style_46_ch" w:type="character">
    <w:name w:val="Default Paragraph Font"/>
    <w:link w:val="Style_46"/>
  </w:style>
  <w:style w:styleId="Style_47" w:type="paragraph">
    <w:name w:val="Знак Знак Знак Знак Знак Знак"/>
    <w:basedOn w:val="Style_5"/>
    <w:link w:val="Style_47_ch"/>
    <w:pPr>
      <w:widowControl w:val="0"/>
      <w:spacing w:after="0" w:line="240" w:lineRule="auto"/>
      <w:ind/>
    </w:pPr>
    <w:rPr>
      <w:rFonts w:ascii="Verdana" w:hAnsi="Verdana"/>
      <w:sz w:val="20"/>
    </w:rPr>
  </w:style>
  <w:style w:styleId="Style_47_ch" w:type="character">
    <w:name w:val="Знак Знак Знак Знак Знак Знак"/>
    <w:basedOn w:val="Style_5_ch"/>
    <w:link w:val="Style_47"/>
    <w:rPr>
      <w:rFonts w:ascii="Verdana" w:hAnsi="Verdana"/>
      <w:sz w:val="20"/>
    </w:rPr>
  </w:style>
  <w:style w:styleId="Style_4" w:type="paragraph">
    <w:name w:val="Знак сноски1"/>
    <w:link w:val="Style_4_ch"/>
    <w:rPr>
      <w:vertAlign w:val="superscript"/>
    </w:rPr>
  </w:style>
  <w:style w:styleId="Style_4_ch" w:type="character">
    <w:name w:val="Знак сноски1"/>
    <w:link w:val="Style_4"/>
    <w:rPr>
      <w:vertAlign w:val="superscript"/>
    </w:rPr>
  </w:style>
  <w:style w:styleId="Style_48" w:type="paragraph">
    <w:name w:val="заголовок 3"/>
    <w:basedOn w:val="Style_5"/>
    <w:next w:val="Style_5"/>
    <w:link w:val="Style_48_ch"/>
    <w:pPr>
      <w:keepNext w:val="1"/>
      <w:widowControl w:val="0"/>
      <w:spacing w:after="0" w:line="240" w:lineRule="auto"/>
      <w:ind/>
      <w:jc w:val="center"/>
    </w:pPr>
    <w:rPr>
      <w:rFonts w:ascii="Times New Roman" w:hAnsi="Times New Roman"/>
      <w:b w:val="1"/>
      <w:sz w:val="20"/>
    </w:rPr>
  </w:style>
  <w:style w:styleId="Style_48_ch" w:type="character">
    <w:name w:val="заголовок 3"/>
    <w:basedOn w:val="Style_5_ch"/>
    <w:link w:val="Style_48"/>
    <w:rPr>
      <w:rFonts w:ascii="Times New Roman" w:hAnsi="Times New Roman"/>
      <w:b w:val="1"/>
      <w:sz w:val="20"/>
    </w:rPr>
  </w:style>
  <w:style w:styleId="Style_49" w:type="paragraph">
    <w:name w:val="Обратный адрес"/>
    <w:basedOn w:val="Style_5"/>
    <w:link w:val="Style_49_ch"/>
    <w:pPr>
      <w:keepLines w:val="1"/>
      <w:spacing w:after="0" w:line="200" w:lineRule="atLeast"/>
      <w:ind w:right="-360"/>
    </w:pPr>
    <w:rPr>
      <w:rFonts w:ascii="Times New Roman" w:hAnsi="Times New Roman"/>
      <w:sz w:val="16"/>
    </w:rPr>
  </w:style>
  <w:style w:styleId="Style_49_ch" w:type="character">
    <w:name w:val="Обратный адрес"/>
    <w:basedOn w:val="Style_5_ch"/>
    <w:link w:val="Style_49"/>
    <w:rPr>
      <w:rFonts w:ascii="Times New Roman" w:hAnsi="Times New Roman"/>
      <w:sz w:val="16"/>
    </w:rPr>
  </w:style>
  <w:style w:styleId="Style_50" w:type="paragraph">
    <w:name w:val="Subtitle"/>
    <w:next w:val="Style_5"/>
    <w:link w:val="Style_50_ch"/>
    <w:uiPriority w:val="11"/>
    <w:qFormat/>
    <w:rPr>
      <w:rFonts w:ascii="XO Thames" w:hAnsi="XO Thames"/>
      <w:i w:val="1"/>
      <w:color w:val="616161"/>
      <w:sz w:val="24"/>
    </w:rPr>
  </w:style>
  <w:style w:styleId="Style_50_ch" w:type="character">
    <w:name w:val="Subtitle"/>
    <w:link w:val="Style_50"/>
    <w:rPr>
      <w:rFonts w:ascii="XO Thames" w:hAnsi="XO Thames"/>
      <w:i w:val="1"/>
      <w:color w:val="616161"/>
      <w:sz w:val="24"/>
    </w:rPr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51" w:type="paragraph">
    <w:name w:val="H4"/>
    <w:basedOn w:val="Style_5"/>
    <w:next w:val="Style_5"/>
    <w:link w:val="Style_51_ch"/>
    <w:pPr>
      <w:keepNext w:val="1"/>
      <w:widowControl w:val="0"/>
      <w:spacing w:after="100" w:before="100" w:line="240" w:lineRule="auto"/>
      <w:ind/>
    </w:pPr>
    <w:rPr>
      <w:rFonts w:ascii="Times New Roman" w:hAnsi="Times New Roman"/>
      <w:b w:val="1"/>
      <w:sz w:val="24"/>
    </w:rPr>
  </w:style>
  <w:style w:styleId="Style_51_ch" w:type="character">
    <w:name w:val="H4"/>
    <w:basedOn w:val="Style_5_ch"/>
    <w:link w:val="Style_51"/>
    <w:rPr>
      <w:rFonts w:ascii="Times New Roman" w:hAnsi="Times New Roman"/>
      <w:b w:val="1"/>
      <w:sz w:val="24"/>
    </w:rPr>
  </w:style>
  <w:style w:styleId="Style_52" w:type="paragraph">
    <w:name w:val="toc 10"/>
    <w:next w:val="Style_5"/>
    <w:link w:val="Style_52_ch"/>
    <w:uiPriority w:val="39"/>
    <w:pPr>
      <w:ind w:firstLine="0" w:left="1800"/>
    </w:pPr>
  </w:style>
  <w:style w:styleId="Style_52_ch" w:type="character">
    <w:name w:val="toc 10"/>
    <w:link w:val="Style_52"/>
  </w:style>
  <w:style w:styleId="Style_53" w:type="paragraph">
    <w:name w:val="Гиперссылка1"/>
    <w:link w:val="Style_53_ch"/>
    <w:rPr>
      <w:color w:val="0000FF"/>
      <w:u w:val="single"/>
    </w:rPr>
  </w:style>
  <w:style w:styleId="Style_53_ch" w:type="character">
    <w:name w:val="Гиперссылка1"/>
    <w:link w:val="Style_53"/>
    <w:rPr>
      <w:color w:val="0000FF"/>
      <w:u w:val="single"/>
    </w:rPr>
  </w:style>
  <w:style w:styleId="Style_54" w:type="paragraph">
    <w:name w:val="Balloon Text"/>
    <w:basedOn w:val="Style_5"/>
    <w:link w:val="Style_54_ch"/>
    <w:pPr>
      <w:spacing w:after="0" w:line="240" w:lineRule="auto"/>
      <w:ind/>
    </w:pPr>
    <w:rPr>
      <w:rFonts w:ascii="Tahoma" w:hAnsi="Tahoma"/>
      <w:sz w:val="16"/>
    </w:rPr>
  </w:style>
  <w:style w:styleId="Style_54_ch" w:type="character">
    <w:name w:val="Balloon Text"/>
    <w:basedOn w:val="Style_5_ch"/>
    <w:link w:val="Style_54"/>
    <w:rPr>
      <w:rFonts w:ascii="Tahoma" w:hAnsi="Tahoma"/>
      <w:sz w:val="16"/>
    </w:rPr>
  </w:style>
  <w:style w:styleId="Style_55" w:type="paragraph">
    <w:name w:val="Title"/>
    <w:basedOn w:val="Style_5"/>
    <w:link w:val="Style_55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55_ch" w:type="character">
    <w:name w:val="Title"/>
    <w:basedOn w:val="Style_5_ch"/>
    <w:link w:val="Style_55"/>
    <w:rPr>
      <w:rFonts w:ascii="Times New Roman" w:hAnsi="Times New Roman"/>
      <w:sz w:val="28"/>
    </w:rPr>
  </w:style>
  <w:style w:styleId="Style_56" w:type="paragraph">
    <w:name w:val="heading 4"/>
    <w:basedOn w:val="Style_5"/>
    <w:next w:val="Style_5"/>
    <w:link w:val="Style_56_ch"/>
    <w:uiPriority w:val="9"/>
    <w:qFormat/>
    <w:pPr>
      <w:keepNext w:val="1"/>
      <w:spacing w:after="60" w:before="240" w:line="240" w:lineRule="auto"/>
      <w:ind/>
      <w:outlineLvl w:val="3"/>
    </w:pPr>
    <w:rPr>
      <w:rFonts w:ascii="Calibri" w:hAnsi="Calibri"/>
      <w:b w:val="1"/>
      <w:sz w:val="28"/>
    </w:rPr>
  </w:style>
  <w:style w:styleId="Style_56_ch" w:type="character">
    <w:name w:val="heading 4"/>
    <w:basedOn w:val="Style_5_ch"/>
    <w:link w:val="Style_56"/>
    <w:rPr>
      <w:rFonts w:ascii="Calibri" w:hAnsi="Calibri"/>
      <w:b w:val="1"/>
      <w:sz w:val="28"/>
    </w:rPr>
  </w:style>
  <w:style w:styleId="Style_57" w:type="paragraph">
    <w:name w:val="heading 2"/>
    <w:basedOn w:val="Style_5"/>
    <w:next w:val="Style_5"/>
    <w:link w:val="Style_57_ch"/>
    <w:uiPriority w:val="9"/>
    <w:qFormat/>
    <w:pPr>
      <w:keepNext w:val="1"/>
      <w:widowControl w:val="0"/>
      <w:spacing w:after="0" w:line="240" w:lineRule="auto"/>
      <w:ind/>
      <w:jc w:val="right"/>
      <w:outlineLvl w:val="1"/>
    </w:pPr>
    <w:rPr>
      <w:rFonts w:ascii="Times New Roman" w:hAnsi="Times New Roman"/>
      <w:b w:val="1"/>
    </w:rPr>
  </w:style>
  <w:style w:styleId="Style_57_ch" w:type="character">
    <w:name w:val="heading 2"/>
    <w:basedOn w:val="Style_5_ch"/>
    <w:link w:val="Style_57"/>
    <w:rPr>
      <w:rFonts w:ascii="Times New Roman" w:hAnsi="Times New Roman"/>
      <w:b w:val="1"/>
    </w:rPr>
  </w:style>
  <w:style w:styleId="Style_58" w:type="paragraph">
    <w:name w:val="Definition Term"/>
    <w:basedOn w:val="Style_5"/>
    <w:next w:val="Style_5"/>
    <w:link w:val="Style_58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8_ch" w:type="character">
    <w:name w:val="Definition Term"/>
    <w:basedOn w:val="Style_5_ch"/>
    <w:link w:val="Style_58"/>
    <w:rPr>
      <w:rFonts w:ascii="Times New Roman" w:hAnsi="Times New Roman"/>
      <w:sz w:val="24"/>
    </w:rPr>
  </w:style>
  <w:style w:styleId="Style_59" w:type="paragraph">
    <w:name w:val="heading 6"/>
    <w:basedOn w:val="Style_5"/>
    <w:next w:val="Style_5"/>
    <w:link w:val="Style_59_ch"/>
    <w:uiPriority w:val="9"/>
    <w:qFormat/>
    <w:pPr>
      <w:keepNext w:val="1"/>
      <w:spacing w:after="0" w:line="240" w:lineRule="auto"/>
      <w:ind/>
      <w:jc w:val="right"/>
      <w:outlineLvl w:val="5"/>
    </w:pPr>
    <w:rPr>
      <w:rFonts w:ascii="Times New Roman" w:hAnsi="Times New Roman"/>
      <w:b w:val="1"/>
      <w:sz w:val="24"/>
    </w:rPr>
  </w:style>
  <w:style w:styleId="Style_59_ch" w:type="character">
    <w:name w:val="heading 6"/>
    <w:basedOn w:val="Style_5_ch"/>
    <w:link w:val="Style_59"/>
    <w:rPr>
      <w:rFonts w:ascii="Times New Roman" w:hAnsi="Times New Roman"/>
      <w:b w:val="1"/>
      <w:sz w:val="24"/>
    </w:rPr>
  </w:style>
  <w:style w:styleId="Style_60" w:type="table">
    <w:name w:val="Сетка таблицы4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1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Сетка таблицы3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Сетка таблицы15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4" w:type="table">
    <w:name w:val="Сетка таблицы14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Сетка таблицы13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6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Сетка таблицы1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Сетка таблицы1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Сетка таблицы16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Table Grid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Сетка таблицы6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Сетка таблицы5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footnotes.xml" Type="http://schemas.openxmlformats.org/officeDocument/2006/relationships/footnotes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2021-05-13T02:04:14Z</dcterms:modified>
</cp:coreProperties>
</file>